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9E282" w14:textId="77777777" w:rsidR="006212B7" w:rsidRDefault="006212B7" w:rsidP="00E9248E">
      <w:pPr>
        <w:spacing w:after="0" w:line="360" w:lineRule="auto"/>
        <w:contextualSpacing/>
        <w:jc w:val="center"/>
        <w:rPr>
          <w:rFonts w:ascii="Times New Roman" w:hAnsi="Times New Roman" w:cs="Times New Roman"/>
          <w:i/>
          <w:sz w:val="24"/>
          <w:szCs w:val="24"/>
        </w:rPr>
      </w:pPr>
    </w:p>
    <w:p w14:paraId="3C6DB41E" w14:textId="77777777" w:rsidR="0008649B" w:rsidRPr="009F42F1" w:rsidRDefault="0008649B" w:rsidP="00E9248E">
      <w:pPr>
        <w:spacing w:after="0" w:line="360" w:lineRule="auto"/>
        <w:contextualSpacing/>
        <w:jc w:val="center"/>
        <w:rPr>
          <w:rFonts w:ascii="Times New Roman" w:hAnsi="Times New Roman" w:cs="Times New Roman"/>
          <w:i/>
          <w:sz w:val="24"/>
          <w:szCs w:val="24"/>
        </w:rPr>
      </w:pPr>
      <w:r w:rsidRPr="009F42F1">
        <w:rPr>
          <w:rFonts w:ascii="Times New Roman" w:hAnsi="Times New Roman" w:cs="Times New Roman"/>
          <w:i/>
          <w:sz w:val="24"/>
          <w:szCs w:val="24"/>
        </w:rPr>
        <w:t>Piergiuseppe Otranto</w:t>
      </w:r>
    </w:p>
    <w:p w14:paraId="57A3B70B" w14:textId="213BACFB" w:rsidR="00B82196" w:rsidRPr="00D9553E" w:rsidRDefault="00630807" w:rsidP="00E9248E">
      <w:pPr>
        <w:spacing w:after="0" w:line="360" w:lineRule="auto"/>
        <w:contextualSpacing/>
        <w:jc w:val="center"/>
        <w:rPr>
          <w:rFonts w:ascii="Times New Roman" w:hAnsi="Times New Roman" w:cs="Times New Roman"/>
          <w:b/>
          <w:sz w:val="24"/>
          <w:szCs w:val="24"/>
        </w:rPr>
      </w:pPr>
      <w:r w:rsidRPr="00D9553E">
        <w:rPr>
          <w:rFonts w:ascii="Times New Roman" w:hAnsi="Times New Roman" w:cs="Times New Roman"/>
          <w:b/>
          <w:sz w:val="24"/>
          <w:szCs w:val="24"/>
        </w:rPr>
        <w:t>Principio</w:t>
      </w:r>
      <w:r w:rsidR="00B82196" w:rsidRPr="00D9553E">
        <w:rPr>
          <w:rFonts w:ascii="Times New Roman" w:hAnsi="Times New Roman" w:cs="Times New Roman"/>
          <w:b/>
          <w:sz w:val="24"/>
          <w:szCs w:val="24"/>
        </w:rPr>
        <w:t xml:space="preserve"> di precauzione e potere sindacale di ordinanza</w:t>
      </w:r>
    </w:p>
    <w:p w14:paraId="3151EE00" w14:textId="77777777" w:rsidR="00B65107" w:rsidRDefault="00B65107" w:rsidP="009F42F1">
      <w:pPr>
        <w:spacing w:after="0" w:line="240" w:lineRule="auto"/>
        <w:contextualSpacing/>
        <w:jc w:val="both"/>
        <w:rPr>
          <w:rFonts w:ascii="Times New Roman" w:hAnsi="Times New Roman" w:cs="Times New Roman"/>
          <w:sz w:val="24"/>
          <w:szCs w:val="24"/>
        </w:rPr>
      </w:pPr>
    </w:p>
    <w:p w14:paraId="7F6DAF42" w14:textId="77777777" w:rsidR="00B65107" w:rsidRDefault="00B65107" w:rsidP="009F42F1">
      <w:pPr>
        <w:spacing w:after="0" w:line="240" w:lineRule="auto"/>
        <w:contextualSpacing/>
        <w:jc w:val="both"/>
        <w:rPr>
          <w:rFonts w:ascii="Times New Roman" w:hAnsi="Times New Roman" w:cs="Times New Roman"/>
          <w:sz w:val="24"/>
          <w:szCs w:val="24"/>
        </w:rPr>
      </w:pPr>
    </w:p>
    <w:p w14:paraId="0A06E6C9" w14:textId="77777777" w:rsidR="00BD40C5" w:rsidRDefault="00BD40C5" w:rsidP="009F42F1">
      <w:pPr>
        <w:spacing w:after="0" w:line="240" w:lineRule="auto"/>
        <w:contextualSpacing/>
        <w:jc w:val="both"/>
        <w:rPr>
          <w:rFonts w:ascii="Times New Roman" w:hAnsi="Times New Roman" w:cs="Times New Roman"/>
          <w:sz w:val="24"/>
          <w:szCs w:val="24"/>
        </w:rPr>
        <w:sectPr w:rsidR="00BD40C5" w:rsidSect="001E0884">
          <w:footerReference w:type="default" r:id="rId9"/>
          <w:footerReference w:type="first" r:id="rId10"/>
          <w:pgSz w:w="11906" w:h="16838"/>
          <w:pgMar w:top="2268" w:right="2268" w:bottom="2268" w:left="2268" w:header="709" w:footer="709" w:gutter="0"/>
          <w:cols w:space="708"/>
          <w:titlePg/>
          <w:docGrid w:linePitch="360"/>
        </w:sectPr>
      </w:pPr>
    </w:p>
    <w:p w14:paraId="4CD6D694" w14:textId="7665DC74" w:rsidR="00E064A5" w:rsidRPr="00D9553E" w:rsidRDefault="0008649B" w:rsidP="009F42F1">
      <w:pPr>
        <w:spacing w:after="0" w:line="240" w:lineRule="auto"/>
        <w:contextualSpacing/>
        <w:jc w:val="both"/>
        <w:rPr>
          <w:rFonts w:ascii="Times New Roman" w:hAnsi="Times New Roman" w:cs="Times New Roman"/>
          <w:sz w:val="24"/>
          <w:szCs w:val="24"/>
        </w:rPr>
      </w:pPr>
      <w:r w:rsidRPr="00D9553E">
        <w:rPr>
          <w:rFonts w:ascii="Times New Roman" w:hAnsi="Times New Roman" w:cs="Times New Roman"/>
          <w:sz w:val="24"/>
          <w:szCs w:val="24"/>
        </w:rPr>
        <w:lastRenderedPageBreak/>
        <w:t>1</w:t>
      </w:r>
      <w:r w:rsidR="00B23649" w:rsidRPr="00D9553E">
        <w:rPr>
          <w:rFonts w:ascii="Times New Roman" w:hAnsi="Times New Roman" w:cs="Times New Roman"/>
          <w:sz w:val="24"/>
          <w:szCs w:val="24"/>
        </w:rPr>
        <w:t>.</w:t>
      </w:r>
      <w:r w:rsidRPr="00D9553E">
        <w:rPr>
          <w:rFonts w:ascii="Times New Roman" w:hAnsi="Times New Roman" w:cs="Times New Roman"/>
          <w:sz w:val="24"/>
          <w:szCs w:val="24"/>
        </w:rPr>
        <w:t xml:space="preserve"> “Società del rischio”</w:t>
      </w:r>
      <w:r w:rsidR="007B7D19">
        <w:rPr>
          <w:rFonts w:ascii="Times New Roman" w:hAnsi="Times New Roman" w:cs="Times New Roman"/>
          <w:sz w:val="24"/>
          <w:szCs w:val="24"/>
        </w:rPr>
        <w:t>,</w:t>
      </w:r>
      <w:r w:rsidRPr="00D9553E">
        <w:rPr>
          <w:rFonts w:ascii="Times New Roman" w:hAnsi="Times New Roman" w:cs="Times New Roman"/>
          <w:sz w:val="24"/>
          <w:szCs w:val="24"/>
        </w:rPr>
        <w:t xml:space="preserve"> potere sindacale di ordinanza</w:t>
      </w:r>
      <w:r w:rsidR="007B7D19">
        <w:rPr>
          <w:rFonts w:ascii="Times New Roman" w:hAnsi="Times New Roman" w:cs="Times New Roman"/>
          <w:sz w:val="24"/>
          <w:szCs w:val="24"/>
        </w:rPr>
        <w:t xml:space="preserve"> </w:t>
      </w:r>
      <w:proofErr w:type="gramStart"/>
      <w:r w:rsidR="007B7D19">
        <w:rPr>
          <w:rFonts w:ascii="Times New Roman" w:hAnsi="Times New Roman" w:cs="Times New Roman"/>
          <w:sz w:val="24"/>
          <w:szCs w:val="24"/>
        </w:rPr>
        <w:t>ed</w:t>
      </w:r>
      <w:proofErr w:type="gramEnd"/>
      <w:r w:rsidR="007B7D19">
        <w:rPr>
          <w:rFonts w:ascii="Times New Roman" w:hAnsi="Times New Roman" w:cs="Times New Roman"/>
          <w:sz w:val="24"/>
          <w:szCs w:val="24"/>
        </w:rPr>
        <w:t xml:space="preserve"> incertezza delle regole</w:t>
      </w:r>
      <w:r w:rsidR="00EB5F97" w:rsidRPr="00D9553E">
        <w:rPr>
          <w:rFonts w:ascii="Times New Roman" w:hAnsi="Times New Roman" w:cs="Times New Roman"/>
          <w:sz w:val="24"/>
          <w:szCs w:val="24"/>
        </w:rPr>
        <w:t>: su alcune interrelazioni.</w:t>
      </w:r>
      <w:r w:rsidR="0092185B" w:rsidRPr="00D9553E">
        <w:rPr>
          <w:rFonts w:ascii="Times New Roman" w:hAnsi="Times New Roman" w:cs="Times New Roman"/>
          <w:sz w:val="24"/>
          <w:szCs w:val="24"/>
        </w:rPr>
        <w:t xml:space="preserve"> </w:t>
      </w:r>
      <w:r w:rsidR="009F42F1">
        <w:rPr>
          <w:rFonts w:ascii="Times New Roman" w:hAnsi="Times New Roman" w:cs="Times New Roman"/>
          <w:sz w:val="24"/>
          <w:szCs w:val="24"/>
        </w:rPr>
        <w:t xml:space="preserve">- </w:t>
      </w:r>
      <w:r w:rsidR="00A15A0E" w:rsidRPr="00D9553E">
        <w:rPr>
          <w:rFonts w:ascii="Times New Roman" w:hAnsi="Times New Roman" w:cs="Times New Roman"/>
          <w:sz w:val="24"/>
          <w:szCs w:val="24"/>
        </w:rPr>
        <w:t xml:space="preserve">2. Origini e contenuti del </w:t>
      </w:r>
      <w:r w:rsidR="00630807" w:rsidRPr="00D9553E">
        <w:rPr>
          <w:rFonts w:ascii="Times New Roman" w:hAnsi="Times New Roman" w:cs="Times New Roman"/>
          <w:sz w:val="24"/>
          <w:szCs w:val="24"/>
        </w:rPr>
        <w:t>principio</w:t>
      </w:r>
      <w:r w:rsidR="00A15A0E" w:rsidRPr="00D9553E">
        <w:rPr>
          <w:rFonts w:ascii="Times New Roman" w:hAnsi="Times New Roman" w:cs="Times New Roman"/>
          <w:sz w:val="24"/>
          <w:szCs w:val="24"/>
        </w:rPr>
        <w:t xml:space="preserve"> di precauzione</w:t>
      </w:r>
      <w:r w:rsidR="00CC5111" w:rsidRPr="00D9553E">
        <w:rPr>
          <w:rFonts w:ascii="Times New Roman" w:hAnsi="Times New Roman" w:cs="Times New Roman"/>
          <w:sz w:val="24"/>
          <w:szCs w:val="24"/>
        </w:rPr>
        <w:t>. La valorizzazione nelle fonti U.E.</w:t>
      </w:r>
      <w:r w:rsidR="00EB04EB" w:rsidRPr="00D9553E">
        <w:rPr>
          <w:rFonts w:ascii="Times New Roman" w:hAnsi="Times New Roman" w:cs="Times New Roman"/>
          <w:sz w:val="24"/>
          <w:szCs w:val="24"/>
        </w:rPr>
        <w:t xml:space="preserve"> </w:t>
      </w:r>
      <w:r w:rsidR="009F42F1">
        <w:rPr>
          <w:rFonts w:ascii="Times New Roman" w:hAnsi="Times New Roman" w:cs="Times New Roman"/>
          <w:sz w:val="24"/>
          <w:szCs w:val="24"/>
        </w:rPr>
        <w:t xml:space="preserve">- </w:t>
      </w:r>
      <w:r w:rsidR="00EB04EB" w:rsidRPr="00D9553E">
        <w:rPr>
          <w:rFonts w:ascii="Times New Roman" w:hAnsi="Times New Roman" w:cs="Times New Roman"/>
          <w:sz w:val="24"/>
          <w:szCs w:val="24"/>
        </w:rPr>
        <w:t xml:space="preserve">3. Il </w:t>
      </w:r>
      <w:r w:rsidR="00630807" w:rsidRPr="00D9553E">
        <w:rPr>
          <w:rFonts w:ascii="Times New Roman" w:hAnsi="Times New Roman" w:cs="Times New Roman"/>
          <w:sz w:val="24"/>
          <w:szCs w:val="24"/>
        </w:rPr>
        <w:t>principio</w:t>
      </w:r>
      <w:r w:rsidR="00EB04EB" w:rsidRPr="00D9553E">
        <w:rPr>
          <w:rFonts w:ascii="Times New Roman" w:hAnsi="Times New Roman" w:cs="Times New Roman"/>
          <w:sz w:val="24"/>
          <w:szCs w:val="24"/>
        </w:rPr>
        <w:t xml:space="preserve"> di precauzione nell’ordinamento nazionale</w:t>
      </w:r>
      <w:r w:rsidR="009F42F1">
        <w:rPr>
          <w:rFonts w:ascii="Times New Roman" w:hAnsi="Times New Roman" w:cs="Times New Roman"/>
          <w:sz w:val="24"/>
          <w:szCs w:val="24"/>
        </w:rPr>
        <w:t>. -</w:t>
      </w:r>
      <w:r w:rsidR="0092185B" w:rsidRPr="00D9553E">
        <w:rPr>
          <w:rFonts w:ascii="Times New Roman" w:hAnsi="Times New Roman" w:cs="Times New Roman"/>
          <w:sz w:val="24"/>
          <w:szCs w:val="24"/>
        </w:rPr>
        <w:t xml:space="preserve"> </w:t>
      </w:r>
      <w:r w:rsidR="00E064A5" w:rsidRPr="00D9553E">
        <w:rPr>
          <w:rFonts w:ascii="Times New Roman" w:hAnsi="Times New Roman" w:cs="Times New Roman"/>
          <w:sz w:val="24"/>
          <w:szCs w:val="24"/>
        </w:rPr>
        <w:t xml:space="preserve">4. Fondamento e limiti del potere di ordinanza </w:t>
      </w:r>
      <w:r w:rsidR="00E064A5" w:rsidRPr="00D9553E">
        <w:rPr>
          <w:rFonts w:ascii="Times New Roman" w:hAnsi="Times New Roman" w:cs="Times New Roman"/>
          <w:i/>
          <w:sz w:val="24"/>
          <w:szCs w:val="24"/>
        </w:rPr>
        <w:t xml:space="preserve">extra </w:t>
      </w:r>
      <w:proofErr w:type="spellStart"/>
      <w:r w:rsidR="00E064A5" w:rsidRPr="00D9553E">
        <w:rPr>
          <w:rFonts w:ascii="Times New Roman" w:hAnsi="Times New Roman" w:cs="Times New Roman"/>
          <w:i/>
          <w:sz w:val="24"/>
          <w:szCs w:val="24"/>
        </w:rPr>
        <w:t>ordinem</w:t>
      </w:r>
      <w:proofErr w:type="spellEnd"/>
      <w:r w:rsidR="008924B7" w:rsidRPr="00D9553E">
        <w:rPr>
          <w:rFonts w:ascii="Times New Roman" w:hAnsi="Times New Roman" w:cs="Times New Roman"/>
          <w:sz w:val="24"/>
          <w:szCs w:val="24"/>
        </w:rPr>
        <w:t xml:space="preserve"> </w:t>
      </w:r>
      <w:proofErr w:type="gramStart"/>
      <w:r w:rsidR="008924B7" w:rsidRPr="00D9553E">
        <w:rPr>
          <w:rFonts w:ascii="Times New Roman" w:hAnsi="Times New Roman" w:cs="Times New Roman"/>
          <w:sz w:val="24"/>
          <w:szCs w:val="24"/>
        </w:rPr>
        <w:t>del</w:t>
      </w:r>
      <w:proofErr w:type="gramEnd"/>
      <w:r w:rsidR="008924B7" w:rsidRPr="00D9553E">
        <w:rPr>
          <w:rFonts w:ascii="Times New Roman" w:hAnsi="Times New Roman" w:cs="Times New Roman"/>
          <w:sz w:val="24"/>
          <w:szCs w:val="24"/>
        </w:rPr>
        <w:t xml:space="preserve"> S</w:t>
      </w:r>
      <w:r w:rsidR="00E064A5" w:rsidRPr="00D9553E">
        <w:rPr>
          <w:rFonts w:ascii="Times New Roman" w:hAnsi="Times New Roman" w:cs="Times New Roman"/>
          <w:sz w:val="24"/>
          <w:szCs w:val="24"/>
        </w:rPr>
        <w:t>indaco</w:t>
      </w:r>
      <w:r w:rsidR="009F42F1">
        <w:rPr>
          <w:rFonts w:ascii="Times New Roman" w:hAnsi="Times New Roman" w:cs="Times New Roman"/>
          <w:sz w:val="24"/>
          <w:szCs w:val="24"/>
        </w:rPr>
        <w:t>. -</w:t>
      </w:r>
      <w:r w:rsidR="0092185B" w:rsidRPr="00D9553E">
        <w:rPr>
          <w:rFonts w:ascii="Times New Roman" w:hAnsi="Times New Roman" w:cs="Times New Roman"/>
          <w:sz w:val="24"/>
          <w:szCs w:val="24"/>
        </w:rPr>
        <w:t xml:space="preserve"> </w:t>
      </w:r>
      <w:r w:rsidR="00E064A5" w:rsidRPr="00D9553E">
        <w:rPr>
          <w:rFonts w:ascii="Times New Roman" w:hAnsi="Times New Roman" w:cs="Times New Roman"/>
          <w:sz w:val="24"/>
          <w:szCs w:val="24"/>
        </w:rPr>
        <w:t xml:space="preserve">5. </w:t>
      </w:r>
      <w:proofErr w:type="gramStart"/>
      <w:r w:rsidR="00E064A5" w:rsidRPr="00D9553E">
        <w:rPr>
          <w:rFonts w:ascii="Times New Roman" w:hAnsi="Times New Roman" w:cs="Times New Roman"/>
          <w:sz w:val="24"/>
          <w:szCs w:val="24"/>
        </w:rPr>
        <w:t xml:space="preserve">Potere sindacale di ordinanza e </w:t>
      </w:r>
      <w:r w:rsidR="00630807" w:rsidRPr="00D9553E">
        <w:rPr>
          <w:rFonts w:ascii="Times New Roman" w:hAnsi="Times New Roman" w:cs="Times New Roman"/>
          <w:sz w:val="24"/>
          <w:szCs w:val="24"/>
        </w:rPr>
        <w:t>principio</w:t>
      </w:r>
      <w:r w:rsidR="00E064A5" w:rsidRPr="00D9553E">
        <w:rPr>
          <w:rFonts w:ascii="Times New Roman" w:hAnsi="Times New Roman" w:cs="Times New Roman"/>
          <w:sz w:val="24"/>
          <w:szCs w:val="24"/>
        </w:rPr>
        <w:t xml:space="preserve"> di precauzione</w:t>
      </w:r>
      <w:r w:rsidR="00206100">
        <w:rPr>
          <w:rFonts w:ascii="Times New Roman" w:hAnsi="Times New Roman" w:cs="Times New Roman"/>
          <w:sz w:val="24"/>
          <w:szCs w:val="24"/>
        </w:rPr>
        <w:t>: il ruolo razionalizzante del principio di proporzionalità</w:t>
      </w:r>
      <w:r w:rsidR="009F42F1">
        <w:rPr>
          <w:rFonts w:ascii="Times New Roman" w:hAnsi="Times New Roman" w:cs="Times New Roman"/>
          <w:sz w:val="24"/>
          <w:szCs w:val="24"/>
        </w:rPr>
        <w:t>.</w:t>
      </w:r>
      <w:proofErr w:type="gramEnd"/>
    </w:p>
    <w:p w14:paraId="68F2C3E1" w14:textId="77777777" w:rsidR="00A15A0E" w:rsidRDefault="00A15A0E" w:rsidP="00E9248E">
      <w:pPr>
        <w:spacing w:after="0" w:line="360" w:lineRule="auto"/>
        <w:contextualSpacing/>
        <w:jc w:val="both"/>
        <w:rPr>
          <w:rFonts w:ascii="Times New Roman" w:hAnsi="Times New Roman" w:cs="Times New Roman"/>
          <w:sz w:val="24"/>
          <w:szCs w:val="24"/>
        </w:rPr>
      </w:pPr>
    </w:p>
    <w:p w14:paraId="451A60D2" w14:textId="77777777" w:rsidR="00EE7B8B" w:rsidRDefault="00EE7B8B" w:rsidP="00E9248E">
      <w:pPr>
        <w:spacing w:after="0" w:line="360" w:lineRule="auto"/>
        <w:contextualSpacing/>
        <w:jc w:val="both"/>
        <w:rPr>
          <w:rFonts w:ascii="Times New Roman" w:hAnsi="Times New Roman" w:cs="Times New Roman"/>
          <w:i/>
          <w:sz w:val="24"/>
          <w:szCs w:val="24"/>
        </w:rPr>
      </w:pPr>
    </w:p>
    <w:p w14:paraId="6431FAF6" w14:textId="20097F34" w:rsidR="0008649B" w:rsidRDefault="0008649B" w:rsidP="00E9248E">
      <w:pPr>
        <w:spacing w:after="0" w:line="360" w:lineRule="auto"/>
        <w:contextualSpacing/>
        <w:jc w:val="both"/>
        <w:rPr>
          <w:rFonts w:ascii="Times New Roman" w:hAnsi="Times New Roman" w:cs="Times New Roman"/>
          <w:i/>
          <w:sz w:val="24"/>
          <w:szCs w:val="24"/>
        </w:rPr>
      </w:pPr>
      <w:r w:rsidRPr="00D9553E">
        <w:rPr>
          <w:rFonts w:ascii="Times New Roman" w:hAnsi="Times New Roman" w:cs="Times New Roman"/>
          <w:i/>
          <w:sz w:val="24"/>
          <w:szCs w:val="24"/>
        </w:rPr>
        <w:t>1</w:t>
      </w:r>
      <w:r w:rsidR="009F42F1">
        <w:rPr>
          <w:rFonts w:ascii="Times New Roman" w:hAnsi="Times New Roman" w:cs="Times New Roman"/>
          <w:i/>
          <w:sz w:val="24"/>
          <w:szCs w:val="24"/>
        </w:rPr>
        <w:t>.</w:t>
      </w:r>
      <w:r w:rsidR="009F42F1">
        <w:rPr>
          <w:rFonts w:ascii="Times New Roman" w:hAnsi="Times New Roman" w:cs="Times New Roman"/>
          <w:i/>
          <w:sz w:val="24"/>
          <w:szCs w:val="24"/>
        </w:rPr>
        <w:tab/>
      </w:r>
      <w:r w:rsidRPr="00D9553E">
        <w:rPr>
          <w:rFonts w:ascii="Times New Roman" w:hAnsi="Times New Roman" w:cs="Times New Roman"/>
          <w:i/>
          <w:sz w:val="24"/>
          <w:szCs w:val="24"/>
        </w:rPr>
        <w:t>“Società del rischio”</w:t>
      </w:r>
      <w:r w:rsidR="007B7D19">
        <w:rPr>
          <w:rFonts w:ascii="Times New Roman" w:hAnsi="Times New Roman" w:cs="Times New Roman"/>
          <w:i/>
          <w:sz w:val="24"/>
          <w:szCs w:val="24"/>
        </w:rPr>
        <w:t>,</w:t>
      </w:r>
      <w:r w:rsidRPr="00D9553E">
        <w:rPr>
          <w:rFonts w:ascii="Times New Roman" w:hAnsi="Times New Roman" w:cs="Times New Roman"/>
          <w:i/>
          <w:sz w:val="24"/>
          <w:szCs w:val="24"/>
        </w:rPr>
        <w:t xml:space="preserve"> potere sindacale di ordinanza</w:t>
      </w:r>
      <w:r w:rsidR="007B7D19">
        <w:rPr>
          <w:rFonts w:ascii="Times New Roman" w:hAnsi="Times New Roman" w:cs="Times New Roman"/>
          <w:i/>
          <w:sz w:val="24"/>
          <w:szCs w:val="24"/>
        </w:rPr>
        <w:t xml:space="preserve"> </w:t>
      </w:r>
      <w:proofErr w:type="gramStart"/>
      <w:r w:rsidR="007B7D19">
        <w:rPr>
          <w:rFonts w:ascii="Times New Roman" w:hAnsi="Times New Roman" w:cs="Times New Roman"/>
          <w:i/>
          <w:sz w:val="24"/>
          <w:szCs w:val="24"/>
        </w:rPr>
        <w:t>ed</w:t>
      </w:r>
      <w:proofErr w:type="gramEnd"/>
      <w:r w:rsidR="007B7D19">
        <w:rPr>
          <w:rFonts w:ascii="Times New Roman" w:hAnsi="Times New Roman" w:cs="Times New Roman"/>
          <w:i/>
          <w:sz w:val="24"/>
          <w:szCs w:val="24"/>
        </w:rPr>
        <w:t xml:space="preserve"> incertezza delle regole</w:t>
      </w:r>
      <w:r w:rsidR="009F42F1">
        <w:rPr>
          <w:rFonts w:ascii="Times New Roman" w:hAnsi="Times New Roman" w:cs="Times New Roman"/>
          <w:i/>
          <w:sz w:val="24"/>
          <w:szCs w:val="24"/>
        </w:rPr>
        <w:t>: su alcune interrelazioni.</w:t>
      </w:r>
    </w:p>
    <w:p w14:paraId="5BD5B1D7" w14:textId="77777777" w:rsidR="00BD40C5" w:rsidRPr="00D9553E" w:rsidRDefault="00BD40C5" w:rsidP="00E9248E">
      <w:pPr>
        <w:spacing w:after="0" w:line="360" w:lineRule="auto"/>
        <w:contextualSpacing/>
        <w:jc w:val="both"/>
        <w:rPr>
          <w:rFonts w:ascii="Times New Roman" w:hAnsi="Times New Roman" w:cs="Times New Roman"/>
          <w:sz w:val="24"/>
          <w:szCs w:val="24"/>
        </w:rPr>
      </w:pPr>
    </w:p>
    <w:p w14:paraId="3424B5D5" w14:textId="0F27B617" w:rsidR="006212B7" w:rsidRDefault="00FE492D"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064A5" w:rsidRPr="00D9553E">
        <w:rPr>
          <w:rFonts w:ascii="Times New Roman" w:hAnsi="Times New Roman" w:cs="Times New Roman"/>
          <w:sz w:val="24"/>
          <w:szCs w:val="24"/>
        </w:rPr>
        <w:t>In una società connotata da incessanti evoluzioni tecnologiche</w:t>
      </w:r>
      <w:proofErr w:type="gramStart"/>
      <w:r w:rsidR="002C6139" w:rsidRPr="00D9553E">
        <w:rPr>
          <w:rStyle w:val="Rimandonotaapidipagina"/>
          <w:rFonts w:ascii="Times New Roman" w:hAnsi="Times New Roman" w:cs="Times New Roman"/>
          <w:sz w:val="24"/>
          <w:szCs w:val="24"/>
        </w:rPr>
        <w:footnoteReference w:id="1"/>
      </w:r>
      <w:r w:rsidR="00D51D3F" w:rsidRPr="00D9553E">
        <w:rPr>
          <w:rFonts w:ascii="Times New Roman" w:hAnsi="Times New Roman" w:cs="Times New Roman"/>
          <w:sz w:val="24"/>
          <w:szCs w:val="24"/>
        </w:rPr>
        <w:t>,</w:t>
      </w:r>
      <w:proofErr w:type="gramEnd"/>
      <w:r w:rsidR="00E064A5" w:rsidRPr="00D9553E">
        <w:rPr>
          <w:rFonts w:ascii="Times New Roman" w:hAnsi="Times New Roman" w:cs="Times New Roman"/>
          <w:sz w:val="24"/>
          <w:szCs w:val="24"/>
        </w:rPr>
        <w:t xml:space="preserve"> che naturalmente generano nuovi rischi (e, aspetto non irrilevante, nuove e non sempre giustificate paure nei cittadini), la ge</w:t>
      </w:r>
      <w:r w:rsidR="008924B7" w:rsidRPr="00D9553E">
        <w:rPr>
          <w:rFonts w:ascii="Times New Roman" w:hAnsi="Times New Roman" w:cs="Times New Roman"/>
          <w:sz w:val="24"/>
          <w:szCs w:val="24"/>
        </w:rPr>
        <w:t xml:space="preserve">stione del “rischio sanitario” </w:t>
      </w:r>
      <w:r w:rsidR="005B59E8">
        <w:rPr>
          <w:rFonts w:ascii="Times New Roman" w:hAnsi="Times New Roman" w:cs="Times New Roman"/>
          <w:sz w:val="24"/>
          <w:szCs w:val="24"/>
        </w:rPr>
        <w:t>-</w:t>
      </w:r>
      <w:r w:rsidR="00E064A5" w:rsidRPr="00D9553E">
        <w:rPr>
          <w:rFonts w:ascii="Times New Roman" w:hAnsi="Times New Roman" w:cs="Times New Roman"/>
          <w:sz w:val="24"/>
          <w:szCs w:val="24"/>
        </w:rPr>
        <w:t>affidata</w:t>
      </w:r>
      <w:r w:rsidR="00D51D3F" w:rsidRPr="00D9553E">
        <w:rPr>
          <w:rFonts w:ascii="Times New Roman" w:hAnsi="Times New Roman" w:cs="Times New Roman"/>
          <w:sz w:val="24"/>
          <w:szCs w:val="24"/>
        </w:rPr>
        <w:t>,</w:t>
      </w:r>
      <w:r w:rsidR="00E064A5" w:rsidRPr="00D9553E">
        <w:rPr>
          <w:rFonts w:ascii="Times New Roman" w:hAnsi="Times New Roman" w:cs="Times New Roman"/>
          <w:sz w:val="24"/>
          <w:szCs w:val="24"/>
        </w:rPr>
        <w:t xml:space="preserve"> sin dalla legge </w:t>
      </w:r>
      <w:r w:rsidR="00D51D3F" w:rsidRPr="00D9553E">
        <w:rPr>
          <w:rFonts w:ascii="Times New Roman" w:hAnsi="Times New Roman" w:cs="Times New Roman"/>
          <w:sz w:val="24"/>
          <w:szCs w:val="24"/>
        </w:rPr>
        <w:t>2</w:t>
      </w:r>
      <w:r w:rsidR="00E064A5" w:rsidRPr="00D9553E">
        <w:rPr>
          <w:rFonts w:ascii="Times New Roman" w:hAnsi="Times New Roman" w:cs="Times New Roman"/>
          <w:sz w:val="24"/>
          <w:szCs w:val="24"/>
        </w:rPr>
        <w:t xml:space="preserve">0 marzo 1865, n. 2248, </w:t>
      </w:r>
      <w:proofErr w:type="spellStart"/>
      <w:r w:rsidR="00E064A5" w:rsidRPr="00D9553E">
        <w:rPr>
          <w:rFonts w:ascii="Times New Roman" w:hAnsi="Times New Roman" w:cs="Times New Roman"/>
          <w:sz w:val="24"/>
          <w:szCs w:val="24"/>
        </w:rPr>
        <w:t>all</w:t>
      </w:r>
      <w:proofErr w:type="spellEnd"/>
      <w:r w:rsidR="00E064A5" w:rsidRPr="00D9553E">
        <w:rPr>
          <w:rFonts w:ascii="Times New Roman" w:hAnsi="Times New Roman" w:cs="Times New Roman"/>
          <w:sz w:val="24"/>
          <w:szCs w:val="24"/>
        </w:rPr>
        <w:t>. C</w:t>
      </w:r>
      <w:r w:rsidR="00D51D3F" w:rsidRPr="00D9553E">
        <w:rPr>
          <w:rFonts w:ascii="Times New Roman" w:hAnsi="Times New Roman" w:cs="Times New Roman"/>
          <w:sz w:val="24"/>
          <w:szCs w:val="24"/>
        </w:rPr>
        <w:t>,</w:t>
      </w:r>
      <w:r w:rsidR="00E064A5" w:rsidRPr="00D9553E">
        <w:rPr>
          <w:rFonts w:ascii="Times New Roman" w:hAnsi="Times New Roman" w:cs="Times New Roman"/>
          <w:sz w:val="24"/>
          <w:szCs w:val="24"/>
        </w:rPr>
        <w:t xml:space="preserve"> all’Amministrazione mediante l’attribuzione di poteri straordinari concepiti per far fronte al verificarsi di eventi pregiudizievoli (c.d. “amministrazione dell’emergenza”)</w:t>
      </w:r>
      <w:r w:rsidR="008924B7" w:rsidRPr="00D9553E">
        <w:rPr>
          <w:rStyle w:val="Rimandonotaapidipagina"/>
          <w:rFonts w:ascii="Times New Roman" w:hAnsi="Times New Roman" w:cs="Times New Roman"/>
          <w:sz w:val="24"/>
          <w:szCs w:val="24"/>
        </w:rPr>
        <w:footnoteReference w:id="2"/>
      </w:r>
      <w:r w:rsidR="005B59E8">
        <w:rPr>
          <w:rFonts w:ascii="Times New Roman" w:hAnsi="Times New Roman" w:cs="Times New Roman"/>
          <w:sz w:val="24"/>
          <w:szCs w:val="24"/>
        </w:rPr>
        <w:t>-</w:t>
      </w:r>
      <w:r w:rsidR="008924B7" w:rsidRPr="00D9553E">
        <w:rPr>
          <w:rFonts w:ascii="Times New Roman" w:hAnsi="Times New Roman" w:cs="Times New Roman"/>
          <w:sz w:val="24"/>
          <w:szCs w:val="24"/>
        </w:rPr>
        <w:t xml:space="preserve"> </w:t>
      </w:r>
      <w:r w:rsidR="00E064A5" w:rsidRPr="00D9553E">
        <w:rPr>
          <w:rFonts w:ascii="Times New Roman" w:hAnsi="Times New Roman" w:cs="Times New Roman"/>
          <w:sz w:val="24"/>
          <w:szCs w:val="24"/>
        </w:rPr>
        <w:t>sembra spostare le proprie frontiere verso la prevenzione (c.d. “amministrazione precauzionale”)</w:t>
      </w:r>
      <w:r w:rsidR="00E064A5" w:rsidRPr="00D9553E">
        <w:rPr>
          <w:rStyle w:val="Rimandonotaapidipagina"/>
          <w:rFonts w:ascii="Times New Roman" w:hAnsi="Times New Roman" w:cs="Times New Roman"/>
          <w:sz w:val="24"/>
          <w:szCs w:val="24"/>
        </w:rPr>
        <w:footnoteReference w:id="3"/>
      </w:r>
      <w:proofErr w:type="gramStart"/>
      <w:r w:rsidR="00E064A5" w:rsidRPr="00D9553E">
        <w:rPr>
          <w:rFonts w:ascii="Times New Roman" w:hAnsi="Times New Roman" w:cs="Times New Roman"/>
          <w:sz w:val="24"/>
          <w:szCs w:val="24"/>
        </w:rPr>
        <w:t>.</w:t>
      </w:r>
    </w:p>
    <w:p w14:paraId="7864B6A6" w14:textId="549317AA" w:rsidR="00D33E8F" w:rsidRPr="00D9553E" w:rsidRDefault="00E064A5" w:rsidP="00E9248E">
      <w:pPr>
        <w:spacing w:after="0" w:line="360" w:lineRule="auto"/>
        <w:contextualSpacing/>
        <w:jc w:val="both"/>
        <w:rPr>
          <w:rFonts w:ascii="Times New Roman" w:hAnsi="Times New Roman" w:cs="Times New Roman"/>
          <w:sz w:val="24"/>
          <w:szCs w:val="24"/>
        </w:rPr>
      </w:pPr>
      <w:proofErr w:type="gramEnd"/>
      <w:r w:rsidRPr="00D9553E">
        <w:rPr>
          <w:rFonts w:ascii="Times New Roman" w:hAnsi="Times New Roman" w:cs="Times New Roman"/>
          <w:sz w:val="24"/>
          <w:szCs w:val="24"/>
        </w:rPr>
        <w:t>Accade così che i</w:t>
      </w:r>
      <w:r w:rsidR="00503D4A" w:rsidRPr="00D9553E">
        <w:rPr>
          <w:rFonts w:ascii="Times New Roman" w:hAnsi="Times New Roman" w:cs="Times New Roman"/>
          <w:sz w:val="24"/>
          <w:szCs w:val="24"/>
        </w:rPr>
        <w:t xml:space="preserve">l </w:t>
      </w:r>
      <w:r w:rsidR="00630807" w:rsidRPr="00D9553E">
        <w:rPr>
          <w:rFonts w:ascii="Times New Roman" w:hAnsi="Times New Roman" w:cs="Times New Roman"/>
          <w:sz w:val="24"/>
          <w:szCs w:val="24"/>
        </w:rPr>
        <w:t>principio</w:t>
      </w:r>
      <w:r w:rsidR="00503D4A" w:rsidRPr="00D9553E">
        <w:rPr>
          <w:rFonts w:ascii="Times New Roman" w:hAnsi="Times New Roman" w:cs="Times New Roman"/>
          <w:sz w:val="24"/>
          <w:szCs w:val="24"/>
        </w:rPr>
        <w:t xml:space="preserve"> di precauzione</w:t>
      </w:r>
      <w:proofErr w:type="gramStart"/>
      <w:r w:rsidR="00A07126" w:rsidRPr="00D9553E">
        <w:rPr>
          <w:rStyle w:val="Rimandonotaapidipagina"/>
          <w:rFonts w:ascii="Times New Roman" w:hAnsi="Times New Roman" w:cs="Times New Roman"/>
          <w:sz w:val="24"/>
          <w:szCs w:val="24"/>
        </w:rPr>
        <w:footnoteReference w:id="4"/>
      </w:r>
      <w:r w:rsidR="00503D4A" w:rsidRPr="00D9553E">
        <w:rPr>
          <w:rFonts w:ascii="Times New Roman" w:hAnsi="Times New Roman" w:cs="Times New Roman"/>
          <w:sz w:val="24"/>
          <w:szCs w:val="24"/>
        </w:rPr>
        <w:t xml:space="preserve"> </w:t>
      </w:r>
      <w:proofErr w:type="gramEnd"/>
      <w:r w:rsidR="00A07126" w:rsidRPr="00D9553E">
        <w:rPr>
          <w:rFonts w:ascii="Times New Roman" w:hAnsi="Times New Roman" w:cs="Times New Roman"/>
          <w:sz w:val="24"/>
          <w:szCs w:val="24"/>
        </w:rPr>
        <w:t>risulti di applicazione sempre più frequente nell’esperienza giuridica</w:t>
      </w:r>
      <w:r w:rsidR="00A07126" w:rsidRPr="00D9553E">
        <w:rPr>
          <w:rStyle w:val="Rimandonotaapidipagina"/>
          <w:rFonts w:ascii="Times New Roman" w:hAnsi="Times New Roman" w:cs="Times New Roman"/>
          <w:sz w:val="24"/>
          <w:szCs w:val="24"/>
        </w:rPr>
        <w:footnoteReference w:id="5"/>
      </w:r>
      <w:r w:rsidR="00A07126" w:rsidRPr="00D9553E">
        <w:rPr>
          <w:rFonts w:ascii="Times New Roman" w:hAnsi="Times New Roman" w:cs="Times New Roman"/>
          <w:sz w:val="24"/>
          <w:szCs w:val="24"/>
        </w:rPr>
        <w:t xml:space="preserve">, anche </w:t>
      </w:r>
      <w:r w:rsidR="00503D4A" w:rsidRPr="00D9553E">
        <w:rPr>
          <w:rFonts w:ascii="Times New Roman" w:hAnsi="Times New Roman" w:cs="Times New Roman"/>
          <w:sz w:val="24"/>
          <w:szCs w:val="24"/>
        </w:rPr>
        <w:t>nell’esercizio de</w:t>
      </w:r>
      <w:r w:rsidR="00A07126" w:rsidRPr="00D9553E">
        <w:rPr>
          <w:rFonts w:ascii="Times New Roman" w:hAnsi="Times New Roman" w:cs="Times New Roman"/>
          <w:sz w:val="24"/>
          <w:szCs w:val="24"/>
        </w:rPr>
        <w:t>l potere sindacale di ordinanza</w:t>
      </w:r>
      <w:r w:rsidR="00D33E8F" w:rsidRPr="00D9553E">
        <w:rPr>
          <w:rStyle w:val="Rimandonotaapidipagina"/>
          <w:rFonts w:ascii="Times New Roman" w:hAnsi="Times New Roman" w:cs="Times New Roman"/>
          <w:sz w:val="24"/>
          <w:szCs w:val="24"/>
        </w:rPr>
        <w:footnoteReference w:id="6"/>
      </w:r>
      <w:r w:rsidR="007C3F54" w:rsidRPr="00D9553E">
        <w:rPr>
          <w:rFonts w:ascii="Times New Roman" w:hAnsi="Times New Roman" w:cs="Times New Roman"/>
          <w:sz w:val="24"/>
          <w:szCs w:val="24"/>
        </w:rPr>
        <w:t>.</w:t>
      </w:r>
      <w:r w:rsidR="00035465" w:rsidRPr="00D9553E">
        <w:rPr>
          <w:rFonts w:ascii="Times New Roman" w:hAnsi="Times New Roman" w:cs="Times New Roman"/>
          <w:sz w:val="24"/>
          <w:szCs w:val="24"/>
        </w:rPr>
        <w:t xml:space="preserve"> </w:t>
      </w:r>
      <w:r w:rsidR="004B6CD6">
        <w:rPr>
          <w:rFonts w:ascii="Times New Roman" w:hAnsi="Times New Roman" w:cs="Times New Roman"/>
          <w:sz w:val="24"/>
          <w:szCs w:val="24"/>
        </w:rPr>
        <w:lastRenderedPageBreak/>
        <w:tab/>
      </w:r>
      <w:r w:rsidR="00035465" w:rsidRPr="00D9553E">
        <w:rPr>
          <w:rFonts w:ascii="Times New Roman" w:hAnsi="Times New Roman" w:cs="Times New Roman"/>
          <w:sz w:val="24"/>
          <w:szCs w:val="24"/>
        </w:rPr>
        <w:t>Spesso su sollecitazione e nell’interesse delle comunità che amministrano -</w:t>
      </w:r>
      <w:r w:rsidR="004B6CD6">
        <w:rPr>
          <w:rFonts w:ascii="Times New Roman" w:hAnsi="Times New Roman" w:cs="Times New Roman"/>
          <w:sz w:val="24"/>
          <w:szCs w:val="24"/>
        </w:rPr>
        <w:t>t</w:t>
      </w:r>
      <w:r w:rsidR="00035465" w:rsidRPr="00D9553E">
        <w:rPr>
          <w:rFonts w:ascii="Times New Roman" w:hAnsi="Times New Roman" w:cs="Times New Roman"/>
          <w:sz w:val="24"/>
          <w:szCs w:val="24"/>
        </w:rPr>
        <w:t xml:space="preserve">alvolta mosse da </w:t>
      </w:r>
      <w:proofErr w:type="gramStart"/>
      <w:r w:rsidR="00035465" w:rsidRPr="00D9553E">
        <w:rPr>
          <w:rFonts w:ascii="Times New Roman" w:hAnsi="Times New Roman" w:cs="Times New Roman"/>
          <w:sz w:val="24"/>
          <w:szCs w:val="24"/>
        </w:rPr>
        <w:t>spinte</w:t>
      </w:r>
      <w:proofErr w:type="gramEnd"/>
      <w:r w:rsidR="00035465" w:rsidRPr="00D9553E">
        <w:rPr>
          <w:rFonts w:ascii="Times New Roman" w:hAnsi="Times New Roman" w:cs="Times New Roman"/>
          <w:sz w:val="24"/>
          <w:szCs w:val="24"/>
        </w:rPr>
        <w:t xml:space="preserve"> emotive e da allarmismi non sempre giustificati se non dalla c.d. sindrome </w:t>
      </w:r>
      <w:proofErr w:type="spellStart"/>
      <w:r w:rsidR="00035465" w:rsidRPr="00D9553E">
        <w:rPr>
          <w:rFonts w:ascii="Times New Roman" w:hAnsi="Times New Roman" w:cs="Times New Roman"/>
          <w:i/>
          <w:sz w:val="24"/>
          <w:szCs w:val="24"/>
        </w:rPr>
        <w:t>nimby</w:t>
      </w:r>
      <w:proofErr w:type="spellEnd"/>
      <w:r w:rsidR="00035465" w:rsidRPr="00D9553E">
        <w:rPr>
          <w:rFonts w:ascii="Times New Roman" w:hAnsi="Times New Roman" w:cs="Times New Roman"/>
          <w:sz w:val="24"/>
          <w:szCs w:val="24"/>
        </w:rPr>
        <w:t>- gli Amministratori locali tentano</w:t>
      </w:r>
      <w:r w:rsidR="008924B7" w:rsidRPr="00D9553E">
        <w:rPr>
          <w:rFonts w:ascii="Times New Roman" w:hAnsi="Times New Roman" w:cs="Times New Roman"/>
          <w:sz w:val="24"/>
          <w:szCs w:val="24"/>
        </w:rPr>
        <w:t>,</w:t>
      </w:r>
      <w:r w:rsidR="00035465" w:rsidRPr="00D9553E">
        <w:rPr>
          <w:rFonts w:ascii="Times New Roman" w:hAnsi="Times New Roman" w:cs="Times New Roman"/>
          <w:sz w:val="24"/>
          <w:szCs w:val="24"/>
        </w:rPr>
        <w:t xml:space="preserve"> per tal via</w:t>
      </w:r>
      <w:r w:rsidR="008924B7" w:rsidRPr="00D9553E">
        <w:rPr>
          <w:rFonts w:ascii="Times New Roman" w:hAnsi="Times New Roman" w:cs="Times New Roman"/>
          <w:sz w:val="24"/>
          <w:szCs w:val="24"/>
        </w:rPr>
        <w:t>,</w:t>
      </w:r>
      <w:r w:rsidR="00035465" w:rsidRPr="00D9553E">
        <w:rPr>
          <w:rFonts w:ascii="Times New Roman" w:hAnsi="Times New Roman" w:cs="Times New Roman"/>
          <w:sz w:val="24"/>
          <w:szCs w:val="24"/>
        </w:rPr>
        <w:t xml:space="preserve"> di impedire l’insediamento di impianti tecnologici o la prosecuzione di attività produttive ritenuti </w:t>
      </w:r>
      <w:r w:rsidR="004B6CD6" w:rsidRPr="004B6CD6">
        <w:rPr>
          <w:rFonts w:ascii="Times New Roman" w:hAnsi="Times New Roman" w:cs="Times New Roman"/>
          <w:i/>
          <w:sz w:val="24"/>
          <w:szCs w:val="24"/>
        </w:rPr>
        <w:t xml:space="preserve">a priori </w:t>
      </w:r>
      <w:r w:rsidR="00035465" w:rsidRPr="00D9553E">
        <w:rPr>
          <w:rFonts w:ascii="Times New Roman" w:hAnsi="Times New Roman" w:cs="Times New Roman"/>
          <w:sz w:val="24"/>
          <w:szCs w:val="24"/>
        </w:rPr>
        <w:t>pregiudizievoli per la salute dei cittadini e dell’ambiente</w:t>
      </w:r>
      <w:r w:rsidR="006017A1" w:rsidRPr="00D9553E">
        <w:rPr>
          <w:rStyle w:val="Rimandonotaapidipagina"/>
          <w:rFonts w:ascii="Times New Roman" w:hAnsi="Times New Roman" w:cs="Times New Roman"/>
          <w:sz w:val="24"/>
          <w:szCs w:val="24"/>
        </w:rPr>
        <w:footnoteReference w:id="7"/>
      </w:r>
      <w:r w:rsidR="00035465" w:rsidRPr="00D9553E">
        <w:rPr>
          <w:rFonts w:ascii="Times New Roman" w:hAnsi="Times New Roman" w:cs="Times New Roman"/>
          <w:sz w:val="24"/>
          <w:szCs w:val="24"/>
        </w:rPr>
        <w:t>.</w:t>
      </w:r>
    </w:p>
    <w:p w14:paraId="4AC000E8" w14:textId="079AA24C" w:rsidR="007C3F54" w:rsidRPr="00D9553E" w:rsidRDefault="00BD40C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C3F54" w:rsidRPr="00D9553E">
        <w:rPr>
          <w:rFonts w:ascii="Times New Roman" w:hAnsi="Times New Roman" w:cs="Times New Roman"/>
          <w:sz w:val="24"/>
          <w:szCs w:val="24"/>
        </w:rPr>
        <w:t xml:space="preserve">Uno spettro, verrebbe da dire, si aggira per l’Italia: il potere dei Sindaci di governare </w:t>
      </w:r>
      <w:r w:rsidR="00655FD4" w:rsidRPr="00D9553E">
        <w:rPr>
          <w:rFonts w:ascii="Times New Roman" w:hAnsi="Times New Roman" w:cs="Times New Roman"/>
          <w:sz w:val="24"/>
          <w:szCs w:val="24"/>
        </w:rPr>
        <w:t xml:space="preserve">in via ordinaria </w:t>
      </w:r>
      <w:r w:rsidR="007C3F54" w:rsidRPr="00D9553E">
        <w:rPr>
          <w:rFonts w:ascii="Times New Roman" w:hAnsi="Times New Roman" w:cs="Times New Roman"/>
          <w:sz w:val="24"/>
          <w:szCs w:val="24"/>
        </w:rPr>
        <w:t xml:space="preserve">il proprio territorio </w:t>
      </w:r>
      <w:r w:rsidR="00035465" w:rsidRPr="00D9553E">
        <w:rPr>
          <w:rFonts w:ascii="Times New Roman" w:hAnsi="Times New Roman" w:cs="Times New Roman"/>
          <w:sz w:val="24"/>
          <w:szCs w:val="24"/>
        </w:rPr>
        <w:t>–</w:t>
      </w:r>
      <w:r w:rsidR="008924B7" w:rsidRPr="00D9553E">
        <w:rPr>
          <w:rFonts w:ascii="Times New Roman" w:hAnsi="Times New Roman" w:cs="Times New Roman"/>
          <w:sz w:val="24"/>
          <w:szCs w:val="24"/>
        </w:rPr>
        <w:t xml:space="preserve"> </w:t>
      </w:r>
      <w:r w:rsidR="00035465" w:rsidRPr="00D9553E">
        <w:rPr>
          <w:rFonts w:ascii="Times New Roman" w:hAnsi="Times New Roman" w:cs="Times New Roman"/>
          <w:sz w:val="24"/>
          <w:szCs w:val="24"/>
        </w:rPr>
        <w:t xml:space="preserve">e di incidere così su interessi assai </w:t>
      </w:r>
      <w:r w:rsidR="00035465" w:rsidRPr="00D9553E">
        <w:rPr>
          <w:rFonts w:ascii="Times New Roman" w:hAnsi="Times New Roman" w:cs="Times New Roman"/>
          <w:sz w:val="24"/>
          <w:szCs w:val="24"/>
        </w:rPr>
        <w:lastRenderedPageBreak/>
        <w:t>rilevanti, oltre che</w:t>
      </w:r>
      <w:r w:rsidR="00EA350F" w:rsidRPr="00D9553E">
        <w:rPr>
          <w:rFonts w:ascii="Times New Roman" w:hAnsi="Times New Roman" w:cs="Times New Roman"/>
          <w:sz w:val="24"/>
          <w:szCs w:val="24"/>
        </w:rPr>
        <w:t>,</w:t>
      </w:r>
      <w:r w:rsidR="00035465" w:rsidRPr="00D9553E">
        <w:rPr>
          <w:rFonts w:ascii="Times New Roman" w:hAnsi="Times New Roman" w:cs="Times New Roman"/>
          <w:sz w:val="24"/>
          <w:szCs w:val="24"/>
        </w:rPr>
        <w:t xml:space="preserve"> </w:t>
      </w:r>
      <w:r w:rsidR="00EA350F" w:rsidRPr="00D9553E">
        <w:rPr>
          <w:rFonts w:ascii="Times New Roman" w:hAnsi="Times New Roman" w:cs="Times New Roman"/>
          <w:sz w:val="24"/>
          <w:szCs w:val="24"/>
        </w:rPr>
        <w:t xml:space="preserve">spesso, </w:t>
      </w:r>
      <w:r w:rsidR="00035465" w:rsidRPr="00D9553E">
        <w:rPr>
          <w:rFonts w:ascii="Times New Roman" w:hAnsi="Times New Roman" w:cs="Times New Roman"/>
          <w:sz w:val="24"/>
          <w:szCs w:val="24"/>
        </w:rPr>
        <w:t>cost</w:t>
      </w:r>
      <w:r w:rsidR="008924B7" w:rsidRPr="00D9553E">
        <w:rPr>
          <w:rFonts w:ascii="Times New Roman" w:hAnsi="Times New Roman" w:cs="Times New Roman"/>
          <w:sz w:val="24"/>
          <w:szCs w:val="24"/>
        </w:rPr>
        <w:t>ituzionalmente protetti –</w:t>
      </w:r>
      <w:r w:rsidR="00035465" w:rsidRPr="00D9553E">
        <w:rPr>
          <w:rFonts w:ascii="Times New Roman" w:hAnsi="Times New Roman" w:cs="Times New Roman"/>
          <w:sz w:val="24"/>
          <w:szCs w:val="24"/>
        </w:rPr>
        <w:t xml:space="preserve"> </w:t>
      </w:r>
      <w:r w:rsidR="007C3F54" w:rsidRPr="00D9553E">
        <w:rPr>
          <w:rFonts w:ascii="Times New Roman" w:hAnsi="Times New Roman" w:cs="Times New Roman"/>
          <w:sz w:val="24"/>
          <w:szCs w:val="24"/>
        </w:rPr>
        <w:t xml:space="preserve">sulla base del </w:t>
      </w:r>
      <w:proofErr w:type="gramStart"/>
      <w:r w:rsidR="00655FD4" w:rsidRPr="00D9553E">
        <w:rPr>
          <w:rFonts w:ascii="Times New Roman" w:hAnsi="Times New Roman" w:cs="Times New Roman"/>
          <w:sz w:val="24"/>
          <w:szCs w:val="24"/>
        </w:rPr>
        <w:t>cd.</w:t>
      </w:r>
      <w:proofErr w:type="gramEnd"/>
      <w:r w:rsidR="00655FD4" w:rsidRPr="00D9553E">
        <w:rPr>
          <w:rFonts w:ascii="Times New Roman" w:hAnsi="Times New Roman" w:cs="Times New Roman"/>
          <w:sz w:val="24"/>
          <w:szCs w:val="24"/>
        </w:rPr>
        <w:t xml:space="preserve"> </w:t>
      </w:r>
      <w:r w:rsidR="00630807" w:rsidRPr="00D9553E">
        <w:rPr>
          <w:rFonts w:ascii="Times New Roman" w:hAnsi="Times New Roman" w:cs="Times New Roman"/>
          <w:sz w:val="24"/>
          <w:szCs w:val="24"/>
        </w:rPr>
        <w:t>principio</w:t>
      </w:r>
      <w:r w:rsidR="007C3F54" w:rsidRPr="00D9553E">
        <w:rPr>
          <w:rFonts w:ascii="Times New Roman" w:hAnsi="Times New Roman" w:cs="Times New Roman"/>
          <w:sz w:val="24"/>
          <w:szCs w:val="24"/>
        </w:rPr>
        <w:t xml:space="preserve"> di precauzione.</w:t>
      </w:r>
    </w:p>
    <w:p w14:paraId="42EF8ED6" w14:textId="26F6F4A9" w:rsidR="00262B30" w:rsidRDefault="00BD40C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57CD3" w:rsidRPr="00D9553E">
        <w:rPr>
          <w:rFonts w:ascii="Times New Roman" w:hAnsi="Times New Roman" w:cs="Times New Roman"/>
          <w:sz w:val="24"/>
          <w:szCs w:val="24"/>
        </w:rPr>
        <w:t>Tuttavia</w:t>
      </w:r>
      <w:r w:rsidR="00773CFD" w:rsidRPr="00D9553E">
        <w:rPr>
          <w:rFonts w:ascii="Times New Roman" w:hAnsi="Times New Roman" w:cs="Times New Roman"/>
          <w:sz w:val="24"/>
          <w:szCs w:val="24"/>
        </w:rPr>
        <w:t>,</w:t>
      </w:r>
      <w:r w:rsidR="00F57CD3" w:rsidRPr="00D9553E">
        <w:rPr>
          <w:rFonts w:ascii="Times New Roman" w:hAnsi="Times New Roman" w:cs="Times New Roman"/>
          <w:sz w:val="24"/>
          <w:szCs w:val="24"/>
        </w:rPr>
        <w:t xml:space="preserve"> </w:t>
      </w:r>
      <w:r w:rsidR="00B52844" w:rsidRPr="00D9553E">
        <w:rPr>
          <w:rFonts w:ascii="Times New Roman" w:hAnsi="Times New Roman" w:cs="Times New Roman"/>
          <w:sz w:val="24"/>
          <w:szCs w:val="24"/>
        </w:rPr>
        <w:t>a misura che i “sindaci legislatori”</w:t>
      </w:r>
      <w:r w:rsidR="00B52844" w:rsidRPr="00D9553E">
        <w:rPr>
          <w:rStyle w:val="Rimandonotaapidipagina"/>
          <w:rFonts w:ascii="Times New Roman" w:hAnsi="Times New Roman" w:cs="Times New Roman"/>
          <w:sz w:val="24"/>
          <w:szCs w:val="24"/>
        </w:rPr>
        <w:footnoteReference w:id="8"/>
      </w:r>
      <w:r w:rsidR="00B52844" w:rsidRPr="00D9553E">
        <w:rPr>
          <w:rFonts w:ascii="Times New Roman" w:hAnsi="Times New Roman" w:cs="Times New Roman"/>
          <w:sz w:val="24"/>
          <w:szCs w:val="24"/>
        </w:rPr>
        <w:t xml:space="preserve"> </w:t>
      </w:r>
      <w:proofErr w:type="gramStart"/>
      <w:r w:rsidR="004B6CD6">
        <w:rPr>
          <w:rFonts w:ascii="Times New Roman" w:hAnsi="Times New Roman" w:cs="Times New Roman"/>
          <w:sz w:val="24"/>
          <w:szCs w:val="24"/>
        </w:rPr>
        <w:t>s</w:t>
      </w:r>
      <w:proofErr w:type="gramEnd"/>
      <w:r w:rsidR="004B6CD6">
        <w:rPr>
          <w:rFonts w:ascii="Times New Roman" w:hAnsi="Times New Roman" w:cs="Times New Roman"/>
          <w:sz w:val="24"/>
          <w:szCs w:val="24"/>
        </w:rPr>
        <w:t>i fanno a</w:t>
      </w:r>
      <w:r w:rsidR="00262B30" w:rsidRPr="00D9553E">
        <w:rPr>
          <w:rFonts w:ascii="Times New Roman" w:hAnsi="Times New Roman" w:cs="Times New Roman"/>
          <w:sz w:val="24"/>
          <w:szCs w:val="24"/>
        </w:rPr>
        <w:t xml:space="preserve"> </w:t>
      </w:r>
      <w:r w:rsidR="00B52844" w:rsidRPr="00D9553E">
        <w:rPr>
          <w:rFonts w:ascii="Times New Roman" w:hAnsi="Times New Roman" w:cs="Times New Roman"/>
          <w:sz w:val="24"/>
          <w:szCs w:val="24"/>
        </w:rPr>
        <w:t>spostare in avanti la</w:t>
      </w:r>
      <w:r w:rsidR="00262B30" w:rsidRPr="00D9553E">
        <w:rPr>
          <w:rFonts w:ascii="Times New Roman" w:hAnsi="Times New Roman" w:cs="Times New Roman"/>
          <w:sz w:val="24"/>
          <w:szCs w:val="24"/>
        </w:rPr>
        <w:t xml:space="preserve"> frontiera della gestione del rischio sanitario verso la prevenzione, l’avanzare di quella frontiera</w:t>
      </w:r>
      <w:r w:rsidR="004B6CD6">
        <w:rPr>
          <w:rFonts w:ascii="Times New Roman" w:hAnsi="Times New Roman" w:cs="Times New Roman"/>
          <w:sz w:val="24"/>
          <w:szCs w:val="24"/>
        </w:rPr>
        <w:t>, in assenza di parametri</w:t>
      </w:r>
      <w:r w:rsidR="00D26AEC">
        <w:rPr>
          <w:rFonts w:ascii="Times New Roman" w:hAnsi="Times New Roman" w:cs="Times New Roman"/>
          <w:sz w:val="24"/>
          <w:szCs w:val="24"/>
        </w:rPr>
        <w:t xml:space="preserve"> sufficientemente definiti per la sua delimitazione,</w:t>
      </w:r>
      <w:r w:rsidR="0038297A">
        <w:rPr>
          <w:rFonts w:ascii="Times New Roman" w:hAnsi="Times New Roman" w:cs="Times New Roman"/>
          <w:sz w:val="24"/>
          <w:szCs w:val="24"/>
        </w:rPr>
        <w:t xml:space="preserve"> </w:t>
      </w:r>
      <w:r w:rsidR="00262B30" w:rsidRPr="00D9553E">
        <w:rPr>
          <w:rFonts w:ascii="Times New Roman" w:hAnsi="Times New Roman" w:cs="Times New Roman"/>
          <w:sz w:val="24"/>
          <w:szCs w:val="24"/>
        </w:rPr>
        <w:t>inevitabilmente comprime diritti</w:t>
      </w:r>
      <w:r w:rsidR="002F34A8" w:rsidRPr="00D9553E">
        <w:rPr>
          <w:rFonts w:ascii="Times New Roman" w:hAnsi="Times New Roman" w:cs="Times New Roman"/>
          <w:sz w:val="24"/>
          <w:szCs w:val="24"/>
        </w:rPr>
        <w:t xml:space="preserve"> costituzionali ass</w:t>
      </w:r>
      <w:r w:rsidR="00C64913" w:rsidRPr="00D9553E">
        <w:rPr>
          <w:rFonts w:ascii="Times New Roman" w:hAnsi="Times New Roman" w:cs="Times New Roman"/>
          <w:sz w:val="24"/>
          <w:szCs w:val="24"/>
        </w:rPr>
        <w:t>a</w:t>
      </w:r>
      <w:r w:rsidR="002F34A8" w:rsidRPr="00D9553E">
        <w:rPr>
          <w:rFonts w:ascii="Times New Roman" w:hAnsi="Times New Roman" w:cs="Times New Roman"/>
          <w:sz w:val="24"/>
          <w:szCs w:val="24"/>
        </w:rPr>
        <w:t xml:space="preserve">i rilevanti </w:t>
      </w:r>
      <w:r w:rsidR="009660BE">
        <w:rPr>
          <w:rFonts w:ascii="Times New Roman" w:hAnsi="Times New Roman" w:cs="Times New Roman"/>
          <w:sz w:val="24"/>
          <w:szCs w:val="24"/>
        </w:rPr>
        <w:t>(</w:t>
      </w:r>
      <w:r w:rsidR="00262B30" w:rsidRPr="00D9553E">
        <w:rPr>
          <w:rFonts w:ascii="Times New Roman" w:hAnsi="Times New Roman" w:cs="Times New Roman"/>
          <w:sz w:val="24"/>
          <w:szCs w:val="24"/>
        </w:rPr>
        <w:t xml:space="preserve">diritto di </w:t>
      </w:r>
      <w:r w:rsidR="0038297A">
        <w:rPr>
          <w:rFonts w:ascii="Times New Roman" w:hAnsi="Times New Roman" w:cs="Times New Roman"/>
          <w:sz w:val="24"/>
          <w:szCs w:val="24"/>
        </w:rPr>
        <w:t>pari trattamento dinanzi alla legge</w:t>
      </w:r>
      <w:r w:rsidR="00262B30" w:rsidRPr="00D9553E">
        <w:rPr>
          <w:rFonts w:ascii="Times New Roman" w:hAnsi="Times New Roman" w:cs="Times New Roman"/>
          <w:sz w:val="24"/>
          <w:szCs w:val="24"/>
        </w:rPr>
        <w:t>, libertà di iniziativa economica, diritto di proprietà,</w:t>
      </w:r>
      <w:r w:rsidR="0038297A">
        <w:rPr>
          <w:rFonts w:ascii="Times New Roman" w:hAnsi="Times New Roman" w:cs="Times New Roman"/>
          <w:sz w:val="24"/>
          <w:szCs w:val="24"/>
        </w:rPr>
        <w:t xml:space="preserve"> diritto di locomozione,</w:t>
      </w:r>
      <w:r w:rsidR="00262B30" w:rsidRPr="00D9553E">
        <w:rPr>
          <w:rFonts w:ascii="Times New Roman" w:hAnsi="Times New Roman" w:cs="Times New Roman"/>
          <w:sz w:val="24"/>
          <w:szCs w:val="24"/>
        </w:rPr>
        <w:t xml:space="preserve"> </w:t>
      </w:r>
      <w:r w:rsidR="002F34A8" w:rsidRPr="00D9553E">
        <w:rPr>
          <w:rFonts w:ascii="Times New Roman" w:hAnsi="Times New Roman" w:cs="Times New Roman"/>
          <w:sz w:val="24"/>
          <w:szCs w:val="24"/>
        </w:rPr>
        <w:t xml:space="preserve">diritto al lavoro, </w:t>
      </w:r>
      <w:r w:rsidR="00262B30" w:rsidRPr="00D9553E">
        <w:rPr>
          <w:rFonts w:ascii="Times New Roman" w:hAnsi="Times New Roman" w:cs="Times New Roman"/>
          <w:sz w:val="24"/>
          <w:szCs w:val="24"/>
        </w:rPr>
        <w:t>solo per cit</w:t>
      </w:r>
      <w:r w:rsidR="009660BE">
        <w:rPr>
          <w:rFonts w:ascii="Times New Roman" w:hAnsi="Times New Roman" w:cs="Times New Roman"/>
          <w:sz w:val="24"/>
          <w:szCs w:val="24"/>
        </w:rPr>
        <w:t>arne alcuni)</w:t>
      </w:r>
      <w:r w:rsidR="00262B30" w:rsidRPr="00D9553E">
        <w:rPr>
          <w:rFonts w:ascii="Times New Roman" w:hAnsi="Times New Roman" w:cs="Times New Roman"/>
          <w:sz w:val="24"/>
          <w:szCs w:val="24"/>
        </w:rPr>
        <w:t xml:space="preserve"> generando</w:t>
      </w:r>
      <w:r w:rsidR="00773CFD" w:rsidRPr="00D9553E">
        <w:rPr>
          <w:rFonts w:ascii="Times New Roman" w:hAnsi="Times New Roman" w:cs="Times New Roman"/>
          <w:sz w:val="24"/>
          <w:szCs w:val="24"/>
        </w:rPr>
        <w:t>,</w:t>
      </w:r>
      <w:r w:rsidR="00262B30" w:rsidRPr="00D9553E">
        <w:rPr>
          <w:rFonts w:ascii="Times New Roman" w:hAnsi="Times New Roman" w:cs="Times New Roman"/>
          <w:sz w:val="24"/>
          <w:szCs w:val="24"/>
        </w:rPr>
        <w:t xml:space="preserve"> così</w:t>
      </w:r>
      <w:r w:rsidR="00773CFD" w:rsidRPr="00D9553E">
        <w:rPr>
          <w:rFonts w:ascii="Times New Roman" w:hAnsi="Times New Roman" w:cs="Times New Roman"/>
          <w:sz w:val="24"/>
          <w:szCs w:val="24"/>
        </w:rPr>
        <w:t>,</w:t>
      </w:r>
      <w:r w:rsidR="00262B30" w:rsidRPr="00D9553E">
        <w:rPr>
          <w:rFonts w:ascii="Times New Roman" w:hAnsi="Times New Roman" w:cs="Times New Roman"/>
          <w:sz w:val="24"/>
          <w:szCs w:val="24"/>
        </w:rPr>
        <w:t xml:space="preserve"> tensioni sistemich</w:t>
      </w:r>
      <w:r w:rsidR="00EA350F" w:rsidRPr="00D9553E">
        <w:rPr>
          <w:rFonts w:ascii="Times New Roman" w:hAnsi="Times New Roman" w:cs="Times New Roman"/>
          <w:sz w:val="24"/>
          <w:szCs w:val="24"/>
        </w:rPr>
        <w:t>e destinate a trovare nelle C</w:t>
      </w:r>
      <w:r w:rsidR="00262B30" w:rsidRPr="00D9553E">
        <w:rPr>
          <w:rFonts w:ascii="Times New Roman" w:hAnsi="Times New Roman" w:cs="Times New Roman"/>
          <w:sz w:val="24"/>
          <w:szCs w:val="24"/>
        </w:rPr>
        <w:t>orti la propri</w:t>
      </w:r>
      <w:r w:rsidR="00BF22BF" w:rsidRPr="00D9553E">
        <w:rPr>
          <w:rFonts w:ascii="Times New Roman" w:hAnsi="Times New Roman" w:cs="Times New Roman"/>
          <w:sz w:val="24"/>
          <w:szCs w:val="24"/>
        </w:rPr>
        <w:t xml:space="preserve">a </w:t>
      </w:r>
      <w:r w:rsidR="002F34A8" w:rsidRPr="00D9553E">
        <w:rPr>
          <w:rFonts w:ascii="Times New Roman" w:hAnsi="Times New Roman" w:cs="Times New Roman"/>
          <w:sz w:val="24"/>
          <w:szCs w:val="24"/>
        </w:rPr>
        <w:t>(</w:t>
      </w:r>
      <w:r w:rsidR="00BF22BF" w:rsidRPr="00D9553E">
        <w:rPr>
          <w:rFonts w:ascii="Times New Roman" w:hAnsi="Times New Roman" w:cs="Times New Roman"/>
          <w:sz w:val="24"/>
          <w:szCs w:val="24"/>
        </w:rPr>
        <w:t>non facile</w:t>
      </w:r>
      <w:r w:rsidR="002F34A8" w:rsidRPr="00D9553E">
        <w:rPr>
          <w:rFonts w:ascii="Times New Roman" w:hAnsi="Times New Roman" w:cs="Times New Roman"/>
          <w:sz w:val="24"/>
          <w:szCs w:val="24"/>
        </w:rPr>
        <w:t>)</w:t>
      </w:r>
      <w:r w:rsidR="00BF22BF" w:rsidRPr="00D9553E">
        <w:rPr>
          <w:rFonts w:ascii="Times New Roman" w:hAnsi="Times New Roman" w:cs="Times New Roman"/>
          <w:sz w:val="24"/>
          <w:szCs w:val="24"/>
        </w:rPr>
        <w:t xml:space="preserve"> composizione</w:t>
      </w:r>
      <w:r w:rsidR="008924B7" w:rsidRPr="00D9553E">
        <w:rPr>
          <w:rFonts w:ascii="Times New Roman" w:hAnsi="Times New Roman" w:cs="Times New Roman"/>
          <w:sz w:val="24"/>
          <w:szCs w:val="24"/>
        </w:rPr>
        <w:t>,</w:t>
      </w:r>
      <w:r w:rsidR="00BF22BF" w:rsidRPr="00D9553E">
        <w:rPr>
          <w:rFonts w:ascii="Times New Roman" w:hAnsi="Times New Roman" w:cs="Times New Roman"/>
          <w:sz w:val="24"/>
          <w:szCs w:val="24"/>
        </w:rPr>
        <w:t xml:space="preserve"> </w:t>
      </w:r>
      <w:r w:rsidR="001713F4" w:rsidRPr="00D9553E">
        <w:rPr>
          <w:rFonts w:ascii="Times New Roman" w:hAnsi="Times New Roman" w:cs="Times New Roman"/>
          <w:sz w:val="24"/>
          <w:szCs w:val="24"/>
        </w:rPr>
        <w:t>soprattutto quando lo stato delle conoscen</w:t>
      </w:r>
      <w:r w:rsidR="00AD2FFC" w:rsidRPr="00D9553E">
        <w:rPr>
          <w:rFonts w:ascii="Times New Roman" w:hAnsi="Times New Roman" w:cs="Times New Roman"/>
          <w:sz w:val="24"/>
          <w:szCs w:val="24"/>
        </w:rPr>
        <w:t>ze scientifiche e delle evidenze</w:t>
      </w:r>
      <w:r w:rsidR="001713F4" w:rsidRPr="00D9553E">
        <w:rPr>
          <w:rFonts w:ascii="Times New Roman" w:hAnsi="Times New Roman" w:cs="Times New Roman"/>
          <w:sz w:val="24"/>
          <w:szCs w:val="24"/>
        </w:rPr>
        <w:t xml:space="preserve"> sperimentali </w:t>
      </w:r>
      <w:r w:rsidR="00F12624">
        <w:rPr>
          <w:rFonts w:ascii="Times New Roman" w:hAnsi="Times New Roman" w:cs="Times New Roman"/>
          <w:sz w:val="24"/>
          <w:szCs w:val="24"/>
        </w:rPr>
        <w:t xml:space="preserve">osti al raggiungimento di </w:t>
      </w:r>
      <w:r w:rsidR="001713F4" w:rsidRPr="00D9553E">
        <w:rPr>
          <w:rFonts w:ascii="Times New Roman" w:hAnsi="Times New Roman" w:cs="Times New Roman"/>
          <w:sz w:val="24"/>
          <w:szCs w:val="24"/>
        </w:rPr>
        <w:t xml:space="preserve">conclusioni univoche nell’ambito della </w:t>
      </w:r>
      <w:r w:rsidR="00B82196" w:rsidRPr="00D9553E">
        <w:rPr>
          <w:rFonts w:ascii="Times New Roman" w:hAnsi="Times New Roman" w:cs="Times New Roman"/>
          <w:sz w:val="24"/>
          <w:szCs w:val="24"/>
        </w:rPr>
        <w:t>c</w:t>
      </w:r>
      <w:r w:rsidR="001713F4" w:rsidRPr="00D9553E">
        <w:rPr>
          <w:rFonts w:ascii="Times New Roman" w:hAnsi="Times New Roman" w:cs="Times New Roman"/>
          <w:sz w:val="24"/>
          <w:szCs w:val="24"/>
        </w:rPr>
        <w:t>omunità scientifica.</w:t>
      </w:r>
    </w:p>
    <w:p w14:paraId="6AC2245E" w14:textId="5A562CA4" w:rsidR="009463A5" w:rsidRPr="00D9553E" w:rsidRDefault="009463A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L’incertezza delle regole sembra, perciò, trovare </w:t>
      </w:r>
      <w:proofErr w:type="gramStart"/>
      <w:r>
        <w:rPr>
          <w:rFonts w:ascii="Times New Roman" w:hAnsi="Times New Roman" w:cs="Times New Roman"/>
          <w:sz w:val="24"/>
          <w:szCs w:val="24"/>
        </w:rPr>
        <w:t>territori ulteriori</w:t>
      </w:r>
      <w:proofErr w:type="gramEnd"/>
      <w:r>
        <w:rPr>
          <w:rFonts w:ascii="Times New Roman" w:hAnsi="Times New Roman" w:cs="Times New Roman"/>
          <w:sz w:val="24"/>
          <w:szCs w:val="24"/>
        </w:rPr>
        <w:t xml:space="preserve"> di espansione in un settore da sempre caratterizzato da discrezionalità assai ampia</w:t>
      </w:r>
      <w:r w:rsidR="0052562B">
        <w:rPr>
          <w:rFonts w:ascii="Times New Roman" w:hAnsi="Times New Roman" w:cs="Times New Roman"/>
          <w:sz w:val="24"/>
          <w:szCs w:val="24"/>
        </w:rPr>
        <w:t>, soprattutto nell’identificazione delle misure più idonee a fronteggiare l’emergenza</w:t>
      </w:r>
      <w:r w:rsidR="00FE13B2">
        <w:rPr>
          <w:rFonts w:ascii="Times New Roman" w:hAnsi="Times New Roman" w:cs="Times New Roman"/>
          <w:sz w:val="24"/>
          <w:szCs w:val="24"/>
        </w:rPr>
        <w:t>, ma sal</w:t>
      </w:r>
      <w:r w:rsidR="009660BE">
        <w:rPr>
          <w:rFonts w:ascii="Times New Roman" w:hAnsi="Times New Roman" w:cs="Times New Roman"/>
          <w:sz w:val="24"/>
          <w:szCs w:val="24"/>
        </w:rPr>
        <w:t>damente ancorato a presupposti</w:t>
      </w:r>
      <w:r w:rsidR="00FE13B2">
        <w:rPr>
          <w:rFonts w:ascii="Times New Roman" w:hAnsi="Times New Roman" w:cs="Times New Roman"/>
          <w:sz w:val="24"/>
          <w:szCs w:val="24"/>
        </w:rPr>
        <w:t xml:space="preserve"> del </w:t>
      </w:r>
      <w:r w:rsidR="00CF288A">
        <w:rPr>
          <w:rFonts w:ascii="Times New Roman" w:hAnsi="Times New Roman" w:cs="Times New Roman"/>
          <w:sz w:val="24"/>
          <w:szCs w:val="24"/>
        </w:rPr>
        <w:t>legittimo esercizio</w:t>
      </w:r>
      <w:r w:rsidR="00FE13B2">
        <w:rPr>
          <w:rFonts w:ascii="Times New Roman" w:hAnsi="Times New Roman" w:cs="Times New Roman"/>
          <w:sz w:val="24"/>
          <w:szCs w:val="24"/>
        </w:rPr>
        <w:t xml:space="preserve"> del potere</w:t>
      </w:r>
      <w:r w:rsidR="00E71C59">
        <w:rPr>
          <w:rFonts w:ascii="Times New Roman" w:hAnsi="Times New Roman" w:cs="Times New Roman"/>
          <w:sz w:val="24"/>
          <w:szCs w:val="24"/>
        </w:rPr>
        <w:t xml:space="preserve"> che</w:t>
      </w:r>
      <w:r w:rsidR="009660BE">
        <w:rPr>
          <w:rFonts w:ascii="Times New Roman" w:hAnsi="Times New Roman" w:cs="Times New Roman"/>
          <w:sz w:val="24"/>
          <w:szCs w:val="24"/>
        </w:rPr>
        <w:t xml:space="preserve"> -messi in discussione da “sortite” del legislator</w:t>
      </w:r>
      <w:r w:rsidR="00D511E6">
        <w:rPr>
          <w:rFonts w:ascii="Times New Roman" w:hAnsi="Times New Roman" w:cs="Times New Roman"/>
          <w:sz w:val="24"/>
          <w:szCs w:val="24"/>
        </w:rPr>
        <w:t>e</w:t>
      </w:r>
      <w:r w:rsidR="009660BE">
        <w:rPr>
          <w:rFonts w:ascii="Times New Roman" w:hAnsi="Times New Roman" w:cs="Times New Roman"/>
          <w:sz w:val="24"/>
          <w:szCs w:val="24"/>
        </w:rPr>
        <w:t>, più ricondotte dalla Corte costituzionale nell’alveo della razionalità ordinamentale</w:t>
      </w:r>
      <w:r w:rsidR="00581550">
        <w:rPr>
          <w:rStyle w:val="Rimandonotaapidipagina"/>
          <w:rFonts w:ascii="Times New Roman" w:hAnsi="Times New Roman" w:cs="Times New Roman"/>
          <w:sz w:val="24"/>
          <w:szCs w:val="24"/>
        </w:rPr>
        <w:footnoteReference w:id="9"/>
      </w:r>
      <w:r w:rsidR="009660BE">
        <w:rPr>
          <w:rFonts w:ascii="Times New Roman" w:hAnsi="Times New Roman" w:cs="Times New Roman"/>
          <w:sz w:val="24"/>
          <w:szCs w:val="24"/>
        </w:rPr>
        <w:t>-</w:t>
      </w:r>
      <w:r w:rsidR="00E71C59">
        <w:rPr>
          <w:rFonts w:ascii="Times New Roman" w:hAnsi="Times New Roman" w:cs="Times New Roman"/>
          <w:sz w:val="24"/>
          <w:szCs w:val="24"/>
        </w:rPr>
        <w:t xml:space="preserve"> sembrano, invece, </w:t>
      </w:r>
      <w:proofErr w:type="gramStart"/>
      <w:r w:rsidR="00E71C59">
        <w:rPr>
          <w:rFonts w:ascii="Times New Roman" w:hAnsi="Times New Roman" w:cs="Times New Roman"/>
          <w:sz w:val="24"/>
          <w:szCs w:val="24"/>
        </w:rPr>
        <w:t>ora particolarmente esposti</w:t>
      </w:r>
      <w:proofErr w:type="gramEnd"/>
      <w:r w:rsidR="00E71C59">
        <w:rPr>
          <w:rFonts w:ascii="Times New Roman" w:hAnsi="Times New Roman" w:cs="Times New Roman"/>
          <w:sz w:val="24"/>
          <w:szCs w:val="24"/>
        </w:rPr>
        <w:t xml:space="preserve"> al rischio di improvvide diluizioni in sede interpretativa</w:t>
      </w:r>
      <w:r w:rsidR="00493693">
        <w:rPr>
          <w:rFonts w:ascii="Times New Roman" w:hAnsi="Times New Roman" w:cs="Times New Roman"/>
          <w:sz w:val="24"/>
          <w:szCs w:val="24"/>
        </w:rPr>
        <w:t>,</w:t>
      </w:r>
      <w:r w:rsidR="00E71C59">
        <w:rPr>
          <w:rFonts w:ascii="Times New Roman" w:hAnsi="Times New Roman" w:cs="Times New Roman"/>
          <w:sz w:val="24"/>
          <w:szCs w:val="24"/>
        </w:rPr>
        <w:t xml:space="preserve"> proprio attraverso malintese evocazioni del principio di precauzione.</w:t>
      </w:r>
    </w:p>
    <w:p w14:paraId="7B477750" w14:textId="60ACA3E0" w:rsidR="00C7705D" w:rsidRPr="00D9553E" w:rsidRDefault="00BD40C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1A2D80">
        <w:rPr>
          <w:rFonts w:ascii="Times New Roman" w:hAnsi="Times New Roman" w:cs="Times New Roman"/>
          <w:sz w:val="24"/>
          <w:szCs w:val="24"/>
        </w:rPr>
        <w:t>Ma</w:t>
      </w:r>
      <w:r w:rsidR="00EA350F" w:rsidRPr="00D9553E">
        <w:rPr>
          <w:rFonts w:ascii="Times New Roman" w:hAnsi="Times New Roman" w:cs="Times New Roman"/>
          <w:sz w:val="24"/>
          <w:szCs w:val="24"/>
        </w:rPr>
        <w:t>,</w:t>
      </w:r>
      <w:r w:rsidR="00DE2D77" w:rsidRPr="00D9553E">
        <w:rPr>
          <w:rFonts w:ascii="Times New Roman" w:hAnsi="Times New Roman" w:cs="Times New Roman"/>
          <w:sz w:val="24"/>
          <w:szCs w:val="24"/>
        </w:rPr>
        <w:t xml:space="preserve"> se l’elaborazione </w:t>
      </w:r>
      <w:proofErr w:type="gramStart"/>
      <w:r w:rsidR="00DE2D77" w:rsidRPr="00D9553E">
        <w:rPr>
          <w:rFonts w:ascii="Times New Roman" w:hAnsi="Times New Roman" w:cs="Times New Roman"/>
          <w:sz w:val="24"/>
          <w:szCs w:val="24"/>
        </w:rPr>
        <w:t xml:space="preserve">di </w:t>
      </w:r>
      <w:proofErr w:type="gramEnd"/>
      <w:r w:rsidR="00DE2D77" w:rsidRPr="00D9553E">
        <w:rPr>
          <w:rFonts w:ascii="Times New Roman" w:hAnsi="Times New Roman" w:cs="Times New Roman"/>
          <w:sz w:val="24"/>
          <w:szCs w:val="24"/>
        </w:rPr>
        <w:t xml:space="preserve">indirizzi fondati sulla verifica dello stato delle conoscenze scientifiche e delle evidenze sperimentali prevale finanche sulla pura </w:t>
      </w:r>
      <w:r w:rsidR="001713F4" w:rsidRPr="00D9553E">
        <w:rPr>
          <w:rFonts w:ascii="Times New Roman" w:hAnsi="Times New Roman" w:cs="Times New Roman"/>
          <w:sz w:val="24"/>
          <w:szCs w:val="24"/>
        </w:rPr>
        <w:t xml:space="preserve">discrezionalità </w:t>
      </w:r>
      <w:r w:rsidR="00DE2D77" w:rsidRPr="00D9553E">
        <w:rPr>
          <w:rFonts w:ascii="Times New Roman" w:hAnsi="Times New Roman" w:cs="Times New Roman"/>
          <w:sz w:val="24"/>
          <w:szCs w:val="24"/>
        </w:rPr>
        <w:t xml:space="preserve">politica </w:t>
      </w:r>
      <w:r w:rsidR="001713F4" w:rsidRPr="00D9553E">
        <w:rPr>
          <w:rFonts w:ascii="Times New Roman" w:hAnsi="Times New Roman" w:cs="Times New Roman"/>
          <w:sz w:val="24"/>
          <w:szCs w:val="24"/>
        </w:rPr>
        <w:t>del legislatore</w:t>
      </w:r>
      <w:r w:rsidR="00DE2D77" w:rsidRPr="00D9553E">
        <w:rPr>
          <w:rStyle w:val="Rimandonotaapidipagina"/>
          <w:rFonts w:ascii="Times New Roman" w:hAnsi="Times New Roman" w:cs="Times New Roman"/>
          <w:sz w:val="24"/>
          <w:szCs w:val="24"/>
        </w:rPr>
        <w:footnoteReference w:id="10"/>
      </w:r>
      <w:r w:rsidR="00EA350F" w:rsidRPr="00D9553E">
        <w:rPr>
          <w:rFonts w:ascii="Times New Roman" w:hAnsi="Times New Roman" w:cs="Times New Roman"/>
          <w:sz w:val="24"/>
          <w:szCs w:val="24"/>
        </w:rPr>
        <w:t>,</w:t>
      </w:r>
      <w:r w:rsidR="00970F4A" w:rsidRPr="00D9553E">
        <w:rPr>
          <w:rFonts w:ascii="Times New Roman" w:hAnsi="Times New Roman" w:cs="Times New Roman"/>
          <w:sz w:val="24"/>
          <w:szCs w:val="24"/>
        </w:rPr>
        <w:t xml:space="preserve"> costituendo così un limite all’esercizio della potestà normativa</w:t>
      </w:r>
      <w:r w:rsidR="00DE2D77" w:rsidRPr="00D9553E">
        <w:rPr>
          <w:rFonts w:ascii="Times New Roman" w:hAnsi="Times New Roman" w:cs="Times New Roman"/>
          <w:sz w:val="24"/>
          <w:szCs w:val="24"/>
        </w:rPr>
        <w:t>, è evidente che</w:t>
      </w:r>
      <w:r w:rsidR="00D50D8C" w:rsidRPr="00D9553E">
        <w:rPr>
          <w:rFonts w:ascii="Times New Roman" w:hAnsi="Times New Roman" w:cs="Times New Roman"/>
          <w:sz w:val="24"/>
          <w:szCs w:val="24"/>
        </w:rPr>
        <w:t>,</w:t>
      </w:r>
      <w:r w:rsidR="00DE2D77" w:rsidRPr="00D9553E">
        <w:rPr>
          <w:rFonts w:ascii="Times New Roman" w:hAnsi="Times New Roman" w:cs="Times New Roman"/>
          <w:sz w:val="24"/>
          <w:szCs w:val="24"/>
        </w:rPr>
        <w:t xml:space="preserve"> </w:t>
      </w:r>
      <w:r w:rsidR="00C7705D" w:rsidRPr="00D9553E">
        <w:rPr>
          <w:rFonts w:ascii="Times New Roman" w:hAnsi="Times New Roman" w:cs="Times New Roman"/>
          <w:sz w:val="24"/>
          <w:szCs w:val="24"/>
        </w:rPr>
        <w:t xml:space="preserve">anche </w:t>
      </w:r>
      <w:r w:rsidR="00970F4A" w:rsidRPr="00D9553E">
        <w:rPr>
          <w:rFonts w:ascii="Times New Roman" w:hAnsi="Times New Roman" w:cs="Times New Roman"/>
          <w:sz w:val="24"/>
          <w:szCs w:val="24"/>
        </w:rPr>
        <w:t xml:space="preserve">nell’esercizio della funzione amministrativa, </w:t>
      </w:r>
      <w:r w:rsidR="003450F5" w:rsidRPr="00D9553E">
        <w:rPr>
          <w:rFonts w:ascii="Times New Roman" w:hAnsi="Times New Roman" w:cs="Times New Roman"/>
          <w:sz w:val="24"/>
          <w:szCs w:val="24"/>
        </w:rPr>
        <w:t xml:space="preserve">come </w:t>
      </w:r>
      <w:r w:rsidR="00970F4A" w:rsidRPr="00D9553E">
        <w:rPr>
          <w:rFonts w:ascii="Times New Roman" w:hAnsi="Times New Roman" w:cs="Times New Roman"/>
          <w:sz w:val="24"/>
          <w:szCs w:val="24"/>
        </w:rPr>
        <w:t>d</w:t>
      </w:r>
      <w:r w:rsidR="007E1F68" w:rsidRPr="00D9553E">
        <w:rPr>
          <w:rFonts w:ascii="Times New Roman" w:hAnsi="Times New Roman" w:cs="Times New Roman"/>
          <w:sz w:val="24"/>
          <w:szCs w:val="24"/>
        </w:rPr>
        <w:t xml:space="preserve">i quella </w:t>
      </w:r>
      <w:r w:rsidR="00970F4A" w:rsidRPr="00D9553E">
        <w:rPr>
          <w:rFonts w:ascii="Times New Roman" w:hAnsi="Times New Roman" w:cs="Times New Roman"/>
          <w:sz w:val="24"/>
          <w:szCs w:val="24"/>
        </w:rPr>
        <w:t>giurisdizionale</w:t>
      </w:r>
      <w:r w:rsidR="00C7705D" w:rsidRPr="00D9553E">
        <w:rPr>
          <w:rFonts w:ascii="Times New Roman" w:hAnsi="Times New Roman" w:cs="Times New Roman"/>
          <w:sz w:val="24"/>
          <w:szCs w:val="24"/>
        </w:rPr>
        <w:t>,</w:t>
      </w:r>
      <w:r w:rsidR="00970F4A" w:rsidRPr="00D9553E">
        <w:rPr>
          <w:rFonts w:ascii="Times New Roman" w:hAnsi="Times New Roman" w:cs="Times New Roman"/>
          <w:sz w:val="24"/>
          <w:szCs w:val="24"/>
        </w:rPr>
        <w:t xml:space="preserve"> </w:t>
      </w:r>
      <w:r w:rsidR="00DE2D77" w:rsidRPr="00D9553E">
        <w:rPr>
          <w:rFonts w:ascii="Times New Roman" w:hAnsi="Times New Roman" w:cs="Times New Roman"/>
          <w:sz w:val="24"/>
          <w:szCs w:val="24"/>
        </w:rPr>
        <w:t>non si possa prescindere da un’analisi delle evidenze scientif</w:t>
      </w:r>
      <w:r w:rsidR="00970F4A" w:rsidRPr="00D9553E">
        <w:rPr>
          <w:rFonts w:ascii="Times New Roman" w:hAnsi="Times New Roman" w:cs="Times New Roman"/>
          <w:sz w:val="24"/>
          <w:szCs w:val="24"/>
        </w:rPr>
        <w:t>iche che di volta in volta</w:t>
      </w:r>
      <w:r w:rsidR="00C7705D" w:rsidRPr="00D9553E">
        <w:rPr>
          <w:rFonts w:ascii="Times New Roman" w:hAnsi="Times New Roman" w:cs="Times New Roman"/>
          <w:sz w:val="24"/>
          <w:szCs w:val="24"/>
        </w:rPr>
        <w:t xml:space="preserve"> vengono in rilievo.</w:t>
      </w:r>
    </w:p>
    <w:p w14:paraId="7FB93484" w14:textId="590A1A64" w:rsidR="001713F4" w:rsidRPr="00D9553E" w:rsidRDefault="00BD40C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57CD3" w:rsidRPr="00D9553E">
        <w:rPr>
          <w:rFonts w:ascii="Times New Roman" w:hAnsi="Times New Roman" w:cs="Times New Roman"/>
          <w:sz w:val="24"/>
          <w:szCs w:val="24"/>
        </w:rPr>
        <w:t xml:space="preserve">Ne deriva </w:t>
      </w:r>
      <w:r w:rsidR="001A2D80">
        <w:rPr>
          <w:rFonts w:ascii="Times New Roman" w:hAnsi="Times New Roman" w:cs="Times New Roman"/>
          <w:sz w:val="24"/>
          <w:szCs w:val="24"/>
        </w:rPr>
        <w:t>sul piano puramente logico</w:t>
      </w:r>
      <w:r w:rsidR="00F57CD3" w:rsidRPr="00D9553E">
        <w:rPr>
          <w:rFonts w:ascii="Times New Roman" w:hAnsi="Times New Roman" w:cs="Times New Roman"/>
          <w:sz w:val="24"/>
          <w:szCs w:val="24"/>
        </w:rPr>
        <w:t xml:space="preserve"> che </w:t>
      </w:r>
      <w:r w:rsidR="00C7705D" w:rsidRPr="00D9553E">
        <w:rPr>
          <w:rFonts w:ascii="Times New Roman" w:hAnsi="Times New Roman" w:cs="Times New Roman"/>
          <w:sz w:val="24"/>
          <w:szCs w:val="24"/>
        </w:rPr>
        <w:t xml:space="preserve">il problema di individuare parametri sulla base </w:t>
      </w:r>
      <w:proofErr w:type="gramStart"/>
      <w:r w:rsidR="00C7705D" w:rsidRPr="00D9553E">
        <w:rPr>
          <w:rFonts w:ascii="Times New Roman" w:hAnsi="Times New Roman" w:cs="Times New Roman"/>
          <w:sz w:val="24"/>
          <w:szCs w:val="24"/>
        </w:rPr>
        <w:t>dei quali</w:t>
      </w:r>
      <w:proofErr w:type="gramEnd"/>
      <w:r w:rsidR="00C7705D" w:rsidRPr="00D9553E">
        <w:rPr>
          <w:rFonts w:ascii="Times New Roman" w:hAnsi="Times New Roman" w:cs="Times New Roman"/>
          <w:sz w:val="24"/>
          <w:szCs w:val="24"/>
        </w:rPr>
        <w:t xml:space="preserve"> stabilire se e quando il rischio –insito in ogni scelta dell’agire </w:t>
      </w:r>
      <w:r w:rsidR="00C7705D" w:rsidRPr="00D9553E">
        <w:rPr>
          <w:rFonts w:ascii="Times New Roman" w:hAnsi="Times New Roman" w:cs="Times New Roman"/>
          <w:sz w:val="24"/>
          <w:szCs w:val="24"/>
        </w:rPr>
        <w:lastRenderedPageBreak/>
        <w:t>umano e vieppiù diffuso nella società contemporanea</w:t>
      </w:r>
      <w:r w:rsidR="008924B7" w:rsidRPr="00D9553E">
        <w:rPr>
          <w:rFonts w:ascii="Times New Roman" w:hAnsi="Times New Roman" w:cs="Times New Roman"/>
          <w:sz w:val="24"/>
          <w:szCs w:val="24"/>
        </w:rPr>
        <w:t>–</w:t>
      </w:r>
      <w:r w:rsidR="00C7705D" w:rsidRPr="00D9553E">
        <w:rPr>
          <w:rFonts w:ascii="Times New Roman" w:hAnsi="Times New Roman" w:cs="Times New Roman"/>
          <w:sz w:val="24"/>
          <w:szCs w:val="24"/>
        </w:rPr>
        <w:t xml:space="preserve"> risulti accettabile (in relazione ad interessi quali la protezione della salute, l</w:t>
      </w:r>
      <w:r w:rsidR="00970F4A" w:rsidRPr="00D9553E">
        <w:rPr>
          <w:rFonts w:ascii="Times New Roman" w:hAnsi="Times New Roman" w:cs="Times New Roman"/>
          <w:sz w:val="24"/>
          <w:szCs w:val="24"/>
        </w:rPr>
        <w:t>’ambient</w:t>
      </w:r>
      <w:r w:rsidR="00C7705D" w:rsidRPr="00D9553E">
        <w:rPr>
          <w:rFonts w:ascii="Times New Roman" w:hAnsi="Times New Roman" w:cs="Times New Roman"/>
          <w:sz w:val="24"/>
          <w:szCs w:val="24"/>
        </w:rPr>
        <w:t xml:space="preserve">e e l’ecosistema) </w:t>
      </w:r>
      <w:r w:rsidR="00BF22BF" w:rsidRPr="00D9553E">
        <w:rPr>
          <w:rFonts w:ascii="Times New Roman" w:hAnsi="Times New Roman" w:cs="Times New Roman"/>
          <w:sz w:val="24"/>
          <w:szCs w:val="24"/>
        </w:rPr>
        <w:t xml:space="preserve">finisce per riguardare il legislatore non meno che l’Amministrazione o il </w:t>
      </w:r>
      <w:r w:rsidR="008924B7" w:rsidRPr="00D9553E">
        <w:rPr>
          <w:rFonts w:ascii="Times New Roman" w:hAnsi="Times New Roman" w:cs="Times New Roman"/>
          <w:sz w:val="24"/>
          <w:szCs w:val="24"/>
        </w:rPr>
        <w:t>G</w:t>
      </w:r>
      <w:r w:rsidR="00BF22BF" w:rsidRPr="00D9553E">
        <w:rPr>
          <w:rFonts w:ascii="Times New Roman" w:hAnsi="Times New Roman" w:cs="Times New Roman"/>
          <w:sz w:val="24"/>
          <w:szCs w:val="24"/>
        </w:rPr>
        <w:t>iudice.</w:t>
      </w:r>
    </w:p>
    <w:p w14:paraId="7F20A0EA" w14:textId="77777777" w:rsidR="00970F4A" w:rsidRPr="00D9553E" w:rsidRDefault="00970F4A" w:rsidP="00E9248E">
      <w:pPr>
        <w:spacing w:after="0" w:line="360" w:lineRule="auto"/>
        <w:contextualSpacing/>
        <w:jc w:val="center"/>
        <w:rPr>
          <w:rFonts w:ascii="Times New Roman" w:hAnsi="Times New Roman" w:cs="Times New Roman"/>
          <w:sz w:val="24"/>
          <w:szCs w:val="24"/>
        </w:rPr>
      </w:pPr>
    </w:p>
    <w:p w14:paraId="21CA1FAE" w14:textId="0BFAE020" w:rsidR="00B82196" w:rsidRDefault="00B82196" w:rsidP="00E9248E">
      <w:pPr>
        <w:spacing w:after="0" w:line="360" w:lineRule="auto"/>
        <w:contextualSpacing/>
        <w:jc w:val="both"/>
        <w:rPr>
          <w:rFonts w:ascii="Times New Roman" w:hAnsi="Times New Roman" w:cs="Times New Roman"/>
          <w:i/>
          <w:sz w:val="24"/>
          <w:szCs w:val="24"/>
        </w:rPr>
      </w:pPr>
      <w:r w:rsidRPr="00D9553E">
        <w:rPr>
          <w:rFonts w:ascii="Times New Roman" w:hAnsi="Times New Roman" w:cs="Times New Roman"/>
          <w:i/>
          <w:sz w:val="24"/>
          <w:szCs w:val="24"/>
        </w:rPr>
        <w:t xml:space="preserve">2. </w:t>
      </w:r>
      <w:r w:rsidR="008747CB">
        <w:rPr>
          <w:rFonts w:ascii="Times New Roman" w:hAnsi="Times New Roman" w:cs="Times New Roman"/>
          <w:i/>
          <w:sz w:val="24"/>
          <w:szCs w:val="24"/>
        </w:rPr>
        <w:tab/>
      </w:r>
      <w:r w:rsidRPr="00D9553E">
        <w:rPr>
          <w:rFonts w:ascii="Times New Roman" w:hAnsi="Times New Roman" w:cs="Times New Roman"/>
          <w:i/>
          <w:sz w:val="24"/>
          <w:szCs w:val="24"/>
        </w:rPr>
        <w:t xml:space="preserve">Origini e contenuti del </w:t>
      </w:r>
      <w:r w:rsidR="00630807" w:rsidRPr="00D9553E">
        <w:rPr>
          <w:rFonts w:ascii="Times New Roman" w:hAnsi="Times New Roman" w:cs="Times New Roman"/>
          <w:i/>
          <w:sz w:val="24"/>
          <w:szCs w:val="24"/>
        </w:rPr>
        <w:t>principio</w:t>
      </w:r>
      <w:r w:rsidRPr="00D9553E">
        <w:rPr>
          <w:rFonts w:ascii="Times New Roman" w:hAnsi="Times New Roman" w:cs="Times New Roman"/>
          <w:i/>
          <w:sz w:val="24"/>
          <w:szCs w:val="24"/>
        </w:rPr>
        <w:t xml:space="preserve"> di precauzione</w:t>
      </w:r>
      <w:r w:rsidR="007C769F" w:rsidRPr="00D9553E">
        <w:rPr>
          <w:rFonts w:ascii="Times New Roman" w:hAnsi="Times New Roman" w:cs="Times New Roman"/>
          <w:i/>
          <w:sz w:val="24"/>
          <w:szCs w:val="24"/>
        </w:rPr>
        <w:t>. La</w:t>
      </w:r>
      <w:r w:rsidR="0092185B" w:rsidRPr="00D9553E">
        <w:rPr>
          <w:rFonts w:ascii="Times New Roman" w:hAnsi="Times New Roman" w:cs="Times New Roman"/>
          <w:i/>
          <w:sz w:val="24"/>
          <w:szCs w:val="24"/>
        </w:rPr>
        <w:t xml:space="preserve"> </w:t>
      </w:r>
      <w:r w:rsidR="007C769F" w:rsidRPr="00D9553E">
        <w:rPr>
          <w:rFonts w:ascii="Times New Roman" w:hAnsi="Times New Roman" w:cs="Times New Roman"/>
          <w:i/>
          <w:sz w:val="24"/>
          <w:szCs w:val="24"/>
        </w:rPr>
        <w:t xml:space="preserve">valorizzazione nelle fonti U.E. </w:t>
      </w:r>
    </w:p>
    <w:p w14:paraId="3274E0AD" w14:textId="77777777" w:rsidR="008747CB" w:rsidRPr="00D9553E" w:rsidRDefault="008747CB" w:rsidP="00E9248E">
      <w:pPr>
        <w:spacing w:after="0" w:line="360" w:lineRule="auto"/>
        <w:contextualSpacing/>
        <w:jc w:val="both"/>
        <w:rPr>
          <w:rFonts w:ascii="Times New Roman" w:hAnsi="Times New Roman" w:cs="Times New Roman"/>
          <w:i/>
          <w:sz w:val="24"/>
          <w:szCs w:val="24"/>
        </w:rPr>
      </w:pPr>
    </w:p>
    <w:p w14:paraId="622E14A0" w14:textId="48DC1767" w:rsidR="000F45BE" w:rsidRPr="00D9553E" w:rsidRDefault="008747CB"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F45BE" w:rsidRPr="00D9553E">
        <w:rPr>
          <w:rFonts w:ascii="Times New Roman" w:hAnsi="Times New Roman" w:cs="Times New Roman"/>
          <w:sz w:val="24"/>
          <w:szCs w:val="24"/>
        </w:rPr>
        <w:t xml:space="preserve">A tale problematica ricerca di un punto di equilibrio nella gestione </w:t>
      </w:r>
      <w:proofErr w:type="gramStart"/>
      <w:r w:rsidR="000F45BE" w:rsidRPr="00D9553E">
        <w:rPr>
          <w:rFonts w:ascii="Times New Roman" w:hAnsi="Times New Roman" w:cs="Times New Roman"/>
          <w:sz w:val="24"/>
          <w:szCs w:val="24"/>
        </w:rPr>
        <w:t>del</w:t>
      </w:r>
      <w:proofErr w:type="gramEnd"/>
      <w:r w:rsidR="000F45BE" w:rsidRPr="00D9553E">
        <w:rPr>
          <w:rFonts w:ascii="Times New Roman" w:hAnsi="Times New Roman" w:cs="Times New Roman"/>
          <w:sz w:val="24"/>
          <w:szCs w:val="24"/>
        </w:rPr>
        <w:t xml:space="preserve"> rischio tenta di dare risposta </w:t>
      </w:r>
      <w:r w:rsidR="00C969D6" w:rsidRPr="00D9553E">
        <w:rPr>
          <w:rFonts w:ascii="Times New Roman" w:hAnsi="Times New Roman" w:cs="Times New Roman"/>
          <w:sz w:val="24"/>
          <w:szCs w:val="24"/>
        </w:rPr>
        <w:t xml:space="preserve">il </w:t>
      </w:r>
      <w:r w:rsidR="00630807" w:rsidRPr="00D9553E">
        <w:rPr>
          <w:rFonts w:ascii="Times New Roman" w:hAnsi="Times New Roman" w:cs="Times New Roman"/>
          <w:sz w:val="24"/>
          <w:szCs w:val="24"/>
        </w:rPr>
        <w:t>principio</w:t>
      </w:r>
      <w:r w:rsidR="00C969D6" w:rsidRPr="00D9553E">
        <w:rPr>
          <w:rFonts w:ascii="Times New Roman" w:hAnsi="Times New Roman" w:cs="Times New Roman"/>
          <w:sz w:val="24"/>
          <w:szCs w:val="24"/>
        </w:rPr>
        <w:t xml:space="preserve"> di precauzione</w:t>
      </w:r>
      <w:r w:rsidR="000F45BE" w:rsidRPr="00D9553E">
        <w:rPr>
          <w:rFonts w:ascii="Times New Roman" w:hAnsi="Times New Roman" w:cs="Times New Roman"/>
          <w:sz w:val="24"/>
          <w:szCs w:val="24"/>
        </w:rPr>
        <w:t>.</w:t>
      </w:r>
    </w:p>
    <w:p w14:paraId="1CDA23BB" w14:textId="3E7A99FE" w:rsidR="00C969D6" w:rsidRPr="00D9553E" w:rsidRDefault="008747CB"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000F45BE" w:rsidRPr="00D9553E">
        <w:rPr>
          <w:rFonts w:ascii="Times New Roman" w:hAnsi="Times New Roman" w:cs="Times New Roman"/>
          <w:sz w:val="24"/>
          <w:szCs w:val="24"/>
        </w:rPr>
        <w:t xml:space="preserve">Come </w:t>
      </w:r>
      <w:proofErr w:type="gramEnd"/>
      <w:r w:rsidR="000F45BE" w:rsidRPr="00D9553E">
        <w:rPr>
          <w:rFonts w:ascii="Times New Roman" w:hAnsi="Times New Roman" w:cs="Times New Roman"/>
          <w:sz w:val="24"/>
          <w:szCs w:val="24"/>
        </w:rPr>
        <w:t>è noto</w:t>
      </w:r>
      <w:r w:rsidR="008924B7" w:rsidRPr="00D9553E">
        <w:rPr>
          <w:rFonts w:ascii="Times New Roman" w:hAnsi="Times New Roman" w:cs="Times New Roman"/>
          <w:sz w:val="24"/>
          <w:szCs w:val="24"/>
        </w:rPr>
        <w:t>,</w:t>
      </w:r>
      <w:r w:rsidR="000F45BE" w:rsidRPr="00D9553E">
        <w:rPr>
          <w:rFonts w:ascii="Times New Roman" w:hAnsi="Times New Roman" w:cs="Times New Roman"/>
          <w:sz w:val="24"/>
          <w:szCs w:val="24"/>
        </w:rPr>
        <w:t xml:space="preserve"> esso</w:t>
      </w:r>
      <w:r w:rsidR="00C969D6" w:rsidRPr="00D9553E">
        <w:rPr>
          <w:rFonts w:ascii="Times New Roman" w:hAnsi="Times New Roman" w:cs="Times New Roman"/>
          <w:sz w:val="24"/>
          <w:szCs w:val="24"/>
        </w:rPr>
        <w:t xml:space="preserve"> ha trovato una prima enunciazione posi</w:t>
      </w:r>
      <w:r w:rsidR="00F57CD3" w:rsidRPr="00D9553E">
        <w:rPr>
          <w:rFonts w:ascii="Times New Roman" w:hAnsi="Times New Roman" w:cs="Times New Roman"/>
          <w:sz w:val="24"/>
          <w:szCs w:val="24"/>
        </w:rPr>
        <w:t>tiva a livello comunitario nella materia della</w:t>
      </w:r>
      <w:r w:rsidR="00C969D6" w:rsidRPr="00D9553E">
        <w:rPr>
          <w:rFonts w:ascii="Times New Roman" w:hAnsi="Times New Roman" w:cs="Times New Roman"/>
          <w:sz w:val="24"/>
          <w:szCs w:val="24"/>
        </w:rPr>
        <w:t xml:space="preserve"> protezione ambientale</w:t>
      </w:r>
      <w:r w:rsidR="00EF16F1" w:rsidRPr="00D9553E">
        <w:rPr>
          <w:rStyle w:val="Rimandonotaapidipagina"/>
          <w:rFonts w:ascii="Times New Roman" w:hAnsi="Times New Roman" w:cs="Times New Roman"/>
          <w:sz w:val="24"/>
          <w:szCs w:val="24"/>
        </w:rPr>
        <w:footnoteReference w:id="11"/>
      </w:r>
      <w:r w:rsidR="00C969D6" w:rsidRPr="00D9553E">
        <w:rPr>
          <w:rFonts w:ascii="Times New Roman" w:hAnsi="Times New Roman" w:cs="Times New Roman"/>
          <w:sz w:val="24"/>
          <w:szCs w:val="24"/>
        </w:rPr>
        <w:t>.</w:t>
      </w:r>
    </w:p>
    <w:p w14:paraId="563AA9A4" w14:textId="60C5D6AE" w:rsidR="009A7267" w:rsidRPr="00D9553E" w:rsidRDefault="00710C59" w:rsidP="00E9248E">
      <w:pPr>
        <w:spacing w:after="0"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C969D6" w:rsidRPr="00D9553E">
        <w:rPr>
          <w:rFonts w:ascii="Times New Roman" w:hAnsi="Times New Roman" w:cs="Times New Roman"/>
          <w:sz w:val="24"/>
          <w:szCs w:val="24"/>
        </w:rPr>
        <w:t>Il riferimento è all’art. 1</w:t>
      </w:r>
      <w:r w:rsidR="008924B7" w:rsidRPr="00D9553E">
        <w:rPr>
          <w:rFonts w:ascii="Times New Roman" w:hAnsi="Times New Roman" w:cs="Times New Roman"/>
          <w:sz w:val="24"/>
          <w:szCs w:val="24"/>
        </w:rPr>
        <w:t>7</w:t>
      </w:r>
      <w:r w:rsidR="00C969D6" w:rsidRPr="00D9553E">
        <w:rPr>
          <w:rFonts w:ascii="Times New Roman" w:hAnsi="Times New Roman" w:cs="Times New Roman"/>
          <w:sz w:val="24"/>
          <w:szCs w:val="24"/>
        </w:rPr>
        <w:t>4, par</w:t>
      </w:r>
      <w:r w:rsidR="004432FE" w:rsidRPr="00D9553E">
        <w:rPr>
          <w:rFonts w:ascii="Times New Roman" w:hAnsi="Times New Roman" w:cs="Times New Roman"/>
          <w:sz w:val="24"/>
          <w:szCs w:val="24"/>
        </w:rPr>
        <w:t>.</w:t>
      </w:r>
      <w:r w:rsidR="00C969D6" w:rsidRPr="00D9553E">
        <w:rPr>
          <w:rFonts w:ascii="Times New Roman" w:hAnsi="Times New Roman" w:cs="Times New Roman"/>
          <w:sz w:val="24"/>
          <w:szCs w:val="24"/>
        </w:rPr>
        <w:t xml:space="preserve"> 2, </w:t>
      </w:r>
      <w:r w:rsidR="008924B7" w:rsidRPr="00D9553E">
        <w:rPr>
          <w:rFonts w:ascii="Times New Roman" w:hAnsi="Times New Roman" w:cs="Times New Roman"/>
          <w:sz w:val="24"/>
          <w:szCs w:val="24"/>
        </w:rPr>
        <w:t>T</w:t>
      </w:r>
      <w:r w:rsidR="00C969D6" w:rsidRPr="00D9553E">
        <w:rPr>
          <w:rFonts w:ascii="Times New Roman" w:hAnsi="Times New Roman" w:cs="Times New Roman"/>
          <w:sz w:val="24"/>
          <w:szCs w:val="24"/>
        </w:rPr>
        <w:t xml:space="preserve">CE come introdotto dal Trattato di Maastricht del 1992, e </w:t>
      </w:r>
      <w:proofErr w:type="gramStart"/>
      <w:r w:rsidR="00C969D6" w:rsidRPr="00D9553E">
        <w:rPr>
          <w:rFonts w:ascii="Times New Roman" w:hAnsi="Times New Roman" w:cs="Times New Roman"/>
          <w:sz w:val="24"/>
          <w:szCs w:val="24"/>
        </w:rPr>
        <w:t>successivamente</w:t>
      </w:r>
      <w:proofErr w:type="gramEnd"/>
      <w:r w:rsidR="00C969D6" w:rsidRPr="00D9553E">
        <w:rPr>
          <w:rFonts w:ascii="Times New Roman" w:hAnsi="Times New Roman" w:cs="Times New Roman"/>
          <w:sz w:val="24"/>
          <w:szCs w:val="24"/>
        </w:rPr>
        <w:t xml:space="preserve"> confluito nell’art. 191, </w:t>
      </w:r>
      <w:r w:rsidR="004432FE" w:rsidRPr="00D9553E">
        <w:rPr>
          <w:rFonts w:ascii="Times New Roman" w:hAnsi="Times New Roman" w:cs="Times New Roman"/>
          <w:sz w:val="24"/>
          <w:szCs w:val="24"/>
        </w:rPr>
        <w:t>par.</w:t>
      </w:r>
      <w:r w:rsidR="00C969D6" w:rsidRPr="00D9553E">
        <w:rPr>
          <w:rFonts w:ascii="Times New Roman" w:hAnsi="Times New Roman" w:cs="Times New Roman"/>
          <w:sz w:val="24"/>
          <w:szCs w:val="24"/>
        </w:rPr>
        <w:t xml:space="preserve"> </w:t>
      </w:r>
      <w:proofErr w:type="gramStart"/>
      <w:r w:rsidR="00C969D6" w:rsidRPr="00D9553E">
        <w:rPr>
          <w:rFonts w:ascii="Times New Roman" w:hAnsi="Times New Roman" w:cs="Times New Roman"/>
          <w:sz w:val="24"/>
          <w:szCs w:val="24"/>
        </w:rPr>
        <w:t>2,</w:t>
      </w:r>
      <w:proofErr w:type="gramEnd"/>
      <w:r w:rsidR="00C969D6" w:rsidRPr="00D9553E">
        <w:rPr>
          <w:rFonts w:ascii="Times New Roman" w:hAnsi="Times New Roman" w:cs="Times New Roman"/>
          <w:sz w:val="24"/>
          <w:szCs w:val="24"/>
        </w:rPr>
        <w:t xml:space="preserve"> del Trattato sul Funzionamento dell’</w:t>
      </w:r>
      <w:r w:rsidR="009A7267" w:rsidRPr="00D9553E">
        <w:rPr>
          <w:rFonts w:ascii="Times New Roman" w:hAnsi="Times New Roman" w:cs="Times New Roman"/>
          <w:sz w:val="24"/>
          <w:szCs w:val="24"/>
        </w:rPr>
        <w:t>Unione europea, a mente del quale:</w:t>
      </w:r>
      <w:r w:rsidR="004432FE" w:rsidRPr="00D9553E">
        <w:rPr>
          <w:rFonts w:ascii="Times New Roman" w:hAnsi="Times New Roman" w:cs="Times New Roman"/>
          <w:sz w:val="24"/>
          <w:szCs w:val="24"/>
        </w:rPr>
        <w:t xml:space="preserve"> </w:t>
      </w:r>
      <w:r w:rsidR="00A15A0E" w:rsidRPr="00D9553E">
        <w:rPr>
          <w:rFonts w:ascii="Times New Roman" w:hAnsi="Times New Roman" w:cs="Times New Roman"/>
          <w:sz w:val="24"/>
          <w:szCs w:val="24"/>
        </w:rPr>
        <w:t>«</w:t>
      </w:r>
      <w:r w:rsidR="004432FE" w:rsidRPr="00D9553E">
        <w:rPr>
          <w:rFonts w:ascii="Times New Roman" w:hAnsi="Times New Roman" w:cs="Times New Roman"/>
          <w:i/>
          <w:sz w:val="24"/>
          <w:szCs w:val="24"/>
        </w:rPr>
        <w:t>l</w:t>
      </w:r>
      <w:r w:rsidR="009A7267" w:rsidRPr="00D9553E">
        <w:rPr>
          <w:rFonts w:ascii="Times New Roman" w:hAnsi="Times New Roman" w:cs="Times New Roman"/>
          <w:i/>
          <w:sz w:val="24"/>
          <w:szCs w:val="24"/>
        </w:rPr>
        <w:t xml:space="preserve">a politica dell’Unione europea in materia ambientale mira a un elevato livello di tutela (…) Essa è fondata sui </w:t>
      </w:r>
      <w:r w:rsidR="00630807" w:rsidRPr="00D9553E">
        <w:rPr>
          <w:rFonts w:ascii="Times New Roman" w:hAnsi="Times New Roman" w:cs="Times New Roman"/>
          <w:i/>
          <w:sz w:val="24"/>
          <w:szCs w:val="24"/>
        </w:rPr>
        <w:t>princìpi</w:t>
      </w:r>
      <w:r w:rsidR="009A7267" w:rsidRPr="00D9553E">
        <w:rPr>
          <w:rFonts w:ascii="Times New Roman" w:hAnsi="Times New Roman" w:cs="Times New Roman"/>
          <w:i/>
          <w:sz w:val="24"/>
          <w:szCs w:val="24"/>
        </w:rPr>
        <w:t xml:space="preserve"> della precauzione e dell’azione preventiva, sul </w:t>
      </w:r>
      <w:r w:rsidR="00630807" w:rsidRPr="00D9553E">
        <w:rPr>
          <w:rFonts w:ascii="Times New Roman" w:hAnsi="Times New Roman" w:cs="Times New Roman"/>
          <w:i/>
          <w:sz w:val="24"/>
          <w:szCs w:val="24"/>
        </w:rPr>
        <w:t>principio</w:t>
      </w:r>
      <w:r w:rsidR="009A7267" w:rsidRPr="00D9553E">
        <w:rPr>
          <w:rFonts w:ascii="Times New Roman" w:hAnsi="Times New Roman" w:cs="Times New Roman"/>
          <w:i/>
          <w:sz w:val="24"/>
          <w:szCs w:val="24"/>
        </w:rPr>
        <w:t xml:space="preserve"> della correzione, in via prioritaria alla fonte, dei danni causati all’ambiente, nonché sul </w:t>
      </w:r>
      <w:r w:rsidR="00630807" w:rsidRPr="00D9553E">
        <w:rPr>
          <w:rFonts w:ascii="Times New Roman" w:hAnsi="Times New Roman" w:cs="Times New Roman"/>
          <w:i/>
          <w:sz w:val="24"/>
          <w:szCs w:val="24"/>
        </w:rPr>
        <w:t>principio</w:t>
      </w:r>
      <w:r w:rsidR="009A7267" w:rsidRPr="00D9553E">
        <w:rPr>
          <w:rFonts w:ascii="Times New Roman" w:hAnsi="Times New Roman" w:cs="Times New Roman"/>
          <w:i/>
          <w:sz w:val="24"/>
          <w:szCs w:val="24"/>
        </w:rPr>
        <w:t xml:space="preserve"> </w:t>
      </w:r>
      <w:r w:rsidR="00A15A0E" w:rsidRPr="00D9553E">
        <w:rPr>
          <w:rFonts w:ascii="Times New Roman" w:hAnsi="Times New Roman" w:cs="Times New Roman"/>
          <w:i/>
          <w:sz w:val="24"/>
          <w:szCs w:val="24"/>
        </w:rPr>
        <w:t>“</w:t>
      </w:r>
      <w:r w:rsidR="009A7267" w:rsidRPr="00D9553E">
        <w:rPr>
          <w:rFonts w:ascii="Times New Roman" w:hAnsi="Times New Roman" w:cs="Times New Roman"/>
          <w:i/>
          <w:sz w:val="24"/>
          <w:szCs w:val="24"/>
        </w:rPr>
        <w:t>chi inquina paga</w:t>
      </w:r>
      <w:r w:rsidR="00A15A0E" w:rsidRPr="00D9553E">
        <w:rPr>
          <w:rFonts w:ascii="Times New Roman" w:hAnsi="Times New Roman" w:cs="Times New Roman"/>
          <w:i/>
          <w:sz w:val="24"/>
          <w:szCs w:val="24"/>
        </w:rPr>
        <w:t>”</w:t>
      </w:r>
      <w:r w:rsidR="00A15A0E" w:rsidRPr="00D9553E">
        <w:rPr>
          <w:rFonts w:ascii="Times New Roman" w:hAnsi="Times New Roman" w:cs="Times New Roman"/>
          <w:sz w:val="24"/>
          <w:szCs w:val="24"/>
        </w:rPr>
        <w:t>»</w:t>
      </w:r>
      <w:r w:rsidR="004432FE" w:rsidRPr="00D9553E">
        <w:rPr>
          <w:rFonts w:ascii="Times New Roman" w:hAnsi="Times New Roman" w:cs="Times New Roman"/>
          <w:sz w:val="24"/>
          <w:szCs w:val="24"/>
        </w:rPr>
        <w:t>.</w:t>
      </w:r>
    </w:p>
    <w:p w14:paraId="238ADB69" w14:textId="20C9CCFF" w:rsidR="009A7267" w:rsidRPr="00D9553E" w:rsidRDefault="00710C59"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05277" w:rsidRPr="00D9553E">
        <w:rPr>
          <w:rFonts w:ascii="Times New Roman" w:hAnsi="Times New Roman" w:cs="Times New Roman"/>
          <w:sz w:val="24"/>
          <w:szCs w:val="24"/>
        </w:rPr>
        <w:t>S</w:t>
      </w:r>
      <w:r w:rsidR="00883E1C" w:rsidRPr="00D9553E">
        <w:rPr>
          <w:rFonts w:ascii="Times New Roman" w:hAnsi="Times New Roman" w:cs="Times New Roman"/>
          <w:sz w:val="24"/>
          <w:szCs w:val="24"/>
        </w:rPr>
        <w:t xml:space="preserve">eppur enunciato in tema di tutela dell’ambiente, </w:t>
      </w:r>
      <w:r w:rsidR="00B05277" w:rsidRPr="00D9553E">
        <w:rPr>
          <w:rFonts w:ascii="Times New Roman" w:hAnsi="Times New Roman" w:cs="Times New Roman"/>
          <w:sz w:val="24"/>
          <w:szCs w:val="24"/>
        </w:rPr>
        <w:t xml:space="preserve">il principio </w:t>
      </w:r>
      <w:proofErr w:type="gramStart"/>
      <w:r w:rsidR="00883E1C" w:rsidRPr="00D9553E">
        <w:rPr>
          <w:rFonts w:ascii="Times New Roman" w:hAnsi="Times New Roman" w:cs="Times New Roman"/>
          <w:sz w:val="24"/>
          <w:szCs w:val="24"/>
        </w:rPr>
        <w:t xml:space="preserve">ben presto </w:t>
      </w:r>
      <w:r w:rsidR="006113DF" w:rsidRPr="00D9553E">
        <w:rPr>
          <w:rFonts w:ascii="Times New Roman" w:hAnsi="Times New Roman" w:cs="Times New Roman"/>
          <w:sz w:val="24"/>
          <w:szCs w:val="24"/>
        </w:rPr>
        <w:t>è stato riten</w:t>
      </w:r>
      <w:r w:rsidR="00503D4A" w:rsidRPr="00D9553E">
        <w:rPr>
          <w:rFonts w:ascii="Times New Roman" w:hAnsi="Times New Roman" w:cs="Times New Roman"/>
          <w:sz w:val="24"/>
          <w:szCs w:val="24"/>
        </w:rPr>
        <w:t>uto</w:t>
      </w:r>
      <w:proofErr w:type="gramEnd"/>
      <w:r w:rsidR="00503D4A" w:rsidRPr="00D9553E">
        <w:rPr>
          <w:rFonts w:ascii="Times New Roman" w:hAnsi="Times New Roman" w:cs="Times New Roman"/>
          <w:sz w:val="24"/>
          <w:szCs w:val="24"/>
        </w:rPr>
        <w:t xml:space="preserve"> direttamente applicabile nella generalità dei</w:t>
      </w:r>
      <w:r w:rsidR="006113DF" w:rsidRPr="00D9553E">
        <w:rPr>
          <w:rFonts w:ascii="Times New Roman" w:hAnsi="Times New Roman" w:cs="Times New Roman"/>
          <w:sz w:val="24"/>
          <w:szCs w:val="24"/>
        </w:rPr>
        <w:t xml:space="preserve"> procedimenti amministrativi</w:t>
      </w:r>
      <w:r w:rsidR="00A15A0E" w:rsidRPr="00D9553E">
        <w:rPr>
          <w:rStyle w:val="Rimandonotaapidipagina"/>
          <w:rFonts w:ascii="Times New Roman" w:hAnsi="Times New Roman" w:cs="Times New Roman"/>
          <w:sz w:val="24"/>
          <w:szCs w:val="24"/>
        </w:rPr>
        <w:footnoteReference w:id="12"/>
      </w:r>
      <w:r w:rsidR="006113DF" w:rsidRPr="00D9553E">
        <w:rPr>
          <w:rFonts w:ascii="Times New Roman" w:hAnsi="Times New Roman" w:cs="Times New Roman"/>
          <w:sz w:val="24"/>
          <w:szCs w:val="24"/>
        </w:rPr>
        <w:t xml:space="preserve"> ed elevato a “</w:t>
      </w:r>
      <w:r w:rsidR="00630807" w:rsidRPr="00D9553E">
        <w:rPr>
          <w:rFonts w:ascii="Times New Roman" w:hAnsi="Times New Roman" w:cs="Times New Roman"/>
          <w:sz w:val="24"/>
          <w:szCs w:val="24"/>
        </w:rPr>
        <w:t>principio</w:t>
      </w:r>
      <w:r w:rsidR="006113DF" w:rsidRPr="00D9553E">
        <w:rPr>
          <w:rFonts w:ascii="Times New Roman" w:hAnsi="Times New Roman" w:cs="Times New Roman"/>
          <w:sz w:val="24"/>
          <w:szCs w:val="24"/>
        </w:rPr>
        <w:t xml:space="preserve"> generale del diritto comunitario”, rilevante in materia di </w:t>
      </w:r>
      <w:r w:rsidR="00883E1C" w:rsidRPr="00D9553E">
        <w:rPr>
          <w:rFonts w:ascii="Times New Roman" w:hAnsi="Times New Roman" w:cs="Times New Roman"/>
          <w:sz w:val="24"/>
          <w:szCs w:val="24"/>
        </w:rPr>
        <w:t xml:space="preserve">protezione della salute </w:t>
      </w:r>
      <w:r w:rsidR="008D63E9" w:rsidRPr="00D9553E">
        <w:rPr>
          <w:rFonts w:ascii="Times New Roman" w:hAnsi="Times New Roman" w:cs="Times New Roman"/>
          <w:sz w:val="24"/>
          <w:szCs w:val="24"/>
        </w:rPr>
        <w:t>e dei consumatori</w:t>
      </w:r>
      <w:r w:rsidR="008D63E9" w:rsidRPr="00D9553E">
        <w:rPr>
          <w:rStyle w:val="Rimandonotaapidipagina"/>
          <w:rFonts w:ascii="Times New Roman" w:hAnsi="Times New Roman" w:cs="Times New Roman"/>
          <w:sz w:val="24"/>
          <w:szCs w:val="24"/>
        </w:rPr>
        <w:footnoteReference w:id="13"/>
      </w:r>
      <w:r w:rsidR="006113DF" w:rsidRPr="00D9553E">
        <w:rPr>
          <w:rFonts w:ascii="Times New Roman" w:hAnsi="Times New Roman" w:cs="Times New Roman"/>
          <w:sz w:val="24"/>
          <w:szCs w:val="24"/>
        </w:rPr>
        <w:t xml:space="preserve">. </w:t>
      </w:r>
    </w:p>
    <w:p w14:paraId="21101507" w14:textId="12E8023A" w:rsidR="00087C43" w:rsidRPr="00D9553E" w:rsidRDefault="0015152C"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195FA1">
        <w:rPr>
          <w:rFonts w:ascii="Times New Roman" w:hAnsi="Times New Roman" w:cs="Times New Roman"/>
          <w:sz w:val="24"/>
          <w:szCs w:val="24"/>
        </w:rPr>
        <w:t>Ad</w:t>
      </w:r>
      <w:proofErr w:type="gramEnd"/>
      <w:r w:rsidR="00195FA1">
        <w:rPr>
          <w:rFonts w:ascii="Times New Roman" w:hAnsi="Times New Roman" w:cs="Times New Roman"/>
          <w:sz w:val="24"/>
          <w:szCs w:val="24"/>
        </w:rPr>
        <w:t xml:space="preserve"> esso</w:t>
      </w:r>
      <w:r w:rsidR="000F45BE" w:rsidRPr="00D9553E">
        <w:rPr>
          <w:rFonts w:ascii="Times New Roman" w:hAnsi="Times New Roman" w:cs="Times New Roman"/>
          <w:sz w:val="24"/>
          <w:szCs w:val="24"/>
        </w:rPr>
        <w:t xml:space="preserve"> è stata dedicata, </w:t>
      </w:r>
      <w:r w:rsidR="008A5937" w:rsidRPr="00D9553E">
        <w:rPr>
          <w:rFonts w:ascii="Times New Roman" w:hAnsi="Times New Roman" w:cs="Times New Roman"/>
          <w:sz w:val="24"/>
          <w:szCs w:val="24"/>
        </w:rPr>
        <w:t>inoltre</w:t>
      </w:r>
      <w:r w:rsidR="000F45BE" w:rsidRPr="00D9553E">
        <w:rPr>
          <w:rFonts w:ascii="Times New Roman" w:hAnsi="Times New Roman" w:cs="Times New Roman"/>
          <w:sz w:val="24"/>
          <w:szCs w:val="24"/>
        </w:rPr>
        <w:t>, la Comunicazione della</w:t>
      </w:r>
      <w:r w:rsidR="00087C43" w:rsidRPr="00D9553E">
        <w:rPr>
          <w:rFonts w:ascii="Times New Roman" w:hAnsi="Times New Roman" w:cs="Times New Roman"/>
          <w:sz w:val="24"/>
          <w:szCs w:val="24"/>
        </w:rPr>
        <w:t xml:space="preserve"> Commissione</w:t>
      </w:r>
      <w:r w:rsidR="000C16AE" w:rsidRPr="00D9553E">
        <w:rPr>
          <w:rFonts w:ascii="Times New Roman" w:hAnsi="Times New Roman" w:cs="Times New Roman"/>
          <w:sz w:val="24"/>
          <w:szCs w:val="24"/>
        </w:rPr>
        <w:t xml:space="preserve"> europea del</w:t>
      </w:r>
      <w:r w:rsidR="00087C43" w:rsidRPr="00D9553E">
        <w:rPr>
          <w:rFonts w:ascii="Times New Roman" w:hAnsi="Times New Roman" w:cs="Times New Roman"/>
          <w:sz w:val="24"/>
          <w:szCs w:val="24"/>
        </w:rPr>
        <w:t xml:space="preserve"> 2 febbraio 2000</w:t>
      </w:r>
      <w:r w:rsidR="00A33114" w:rsidRPr="00D9553E">
        <w:rPr>
          <w:rStyle w:val="Rimandonotaapidipagina"/>
          <w:rFonts w:ascii="Times New Roman" w:hAnsi="Times New Roman" w:cs="Times New Roman"/>
          <w:sz w:val="24"/>
          <w:szCs w:val="24"/>
        </w:rPr>
        <w:footnoteReference w:id="14"/>
      </w:r>
      <w:proofErr w:type="gramStart"/>
      <w:r w:rsidR="004432FE" w:rsidRPr="00D9553E">
        <w:rPr>
          <w:rFonts w:ascii="Times New Roman" w:hAnsi="Times New Roman" w:cs="Times New Roman"/>
          <w:sz w:val="24"/>
          <w:szCs w:val="24"/>
        </w:rPr>
        <w:t>,</w:t>
      </w:r>
      <w:r w:rsidR="00087C43" w:rsidRPr="00D9553E">
        <w:rPr>
          <w:rFonts w:ascii="Times New Roman" w:hAnsi="Times New Roman" w:cs="Times New Roman"/>
          <w:sz w:val="24"/>
          <w:szCs w:val="24"/>
        </w:rPr>
        <w:t xml:space="preserve"> </w:t>
      </w:r>
      <w:proofErr w:type="gramEnd"/>
      <w:r w:rsidR="00087C43" w:rsidRPr="00D9553E">
        <w:rPr>
          <w:rFonts w:ascii="Times New Roman" w:hAnsi="Times New Roman" w:cs="Times New Roman"/>
          <w:sz w:val="24"/>
          <w:szCs w:val="24"/>
        </w:rPr>
        <w:t xml:space="preserve">che individua </w:t>
      </w:r>
      <w:r w:rsidR="008A5937" w:rsidRPr="00D9553E">
        <w:rPr>
          <w:rFonts w:ascii="Times New Roman" w:hAnsi="Times New Roman" w:cs="Times New Roman"/>
          <w:sz w:val="24"/>
          <w:szCs w:val="24"/>
        </w:rPr>
        <w:t xml:space="preserve">alcune </w:t>
      </w:r>
      <w:r w:rsidR="00087C43" w:rsidRPr="00D9553E">
        <w:rPr>
          <w:rFonts w:ascii="Times New Roman" w:hAnsi="Times New Roman" w:cs="Times New Roman"/>
          <w:sz w:val="24"/>
          <w:szCs w:val="24"/>
        </w:rPr>
        <w:t xml:space="preserve">“linee guida” per la </w:t>
      </w:r>
      <w:r w:rsidR="008A5937" w:rsidRPr="00D9553E">
        <w:rPr>
          <w:rFonts w:ascii="Times New Roman" w:hAnsi="Times New Roman" w:cs="Times New Roman"/>
          <w:sz w:val="24"/>
          <w:szCs w:val="24"/>
        </w:rPr>
        <w:t xml:space="preserve">sua </w:t>
      </w:r>
      <w:r w:rsidR="00087C43" w:rsidRPr="00D9553E">
        <w:rPr>
          <w:rFonts w:ascii="Times New Roman" w:hAnsi="Times New Roman" w:cs="Times New Roman"/>
          <w:sz w:val="24"/>
          <w:szCs w:val="24"/>
        </w:rPr>
        <w:t>corr</w:t>
      </w:r>
      <w:r w:rsidR="004A29A1" w:rsidRPr="00D9553E">
        <w:rPr>
          <w:rFonts w:ascii="Times New Roman" w:hAnsi="Times New Roman" w:cs="Times New Roman"/>
          <w:sz w:val="24"/>
          <w:szCs w:val="24"/>
        </w:rPr>
        <w:t>etta applicazione, senza tuttavia mai tentare di circoscriverne la nozione.</w:t>
      </w:r>
    </w:p>
    <w:p w14:paraId="010364C5" w14:textId="5E3BCEDB" w:rsidR="004A29A1" w:rsidRPr="00D9553E" w:rsidRDefault="0015152C"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96D3B" w:rsidRPr="00D9553E">
        <w:rPr>
          <w:rFonts w:ascii="Times New Roman" w:hAnsi="Times New Roman" w:cs="Times New Roman"/>
          <w:sz w:val="24"/>
          <w:szCs w:val="24"/>
        </w:rPr>
        <w:t>P</w:t>
      </w:r>
      <w:r w:rsidR="004A29A1" w:rsidRPr="00D9553E">
        <w:rPr>
          <w:rFonts w:ascii="Times New Roman" w:hAnsi="Times New Roman" w:cs="Times New Roman"/>
          <w:sz w:val="24"/>
          <w:szCs w:val="24"/>
        </w:rPr>
        <w:t>uò</w:t>
      </w:r>
      <w:r w:rsidR="00896D3B" w:rsidRPr="00D9553E">
        <w:rPr>
          <w:rFonts w:ascii="Times New Roman" w:hAnsi="Times New Roman" w:cs="Times New Roman"/>
          <w:sz w:val="24"/>
          <w:szCs w:val="24"/>
        </w:rPr>
        <w:t>, perciò,</w:t>
      </w:r>
      <w:r w:rsidR="004A29A1" w:rsidRPr="00D9553E">
        <w:rPr>
          <w:rFonts w:ascii="Times New Roman" w:hAnsi="Times New Roman" w:cs="Times New Roman"/>
          <w:sz w:val="24"/>
          <w:szCs w:val="24"/>
        </w:rPr>
        <w:t xml:space="preserve"> apparire utile anticipare che</w:t>
      </w:r>
      <w:r w:rsidR="004432FE" w:rsidRPr="00D9553E">
        <w:rPr>
          <w:rFonts w:ascii="Times New Roman" w:hAnsi="Times New Roman" w:cs="Times New Roman"/>
          <w:sz w:val="24"/>
          <w:szCs w:val="24"/>
        </w:rPr>
        <w:t>,</w:t>
      </w:r>
      <w:r w:rsidR="00896D3B" w:rsidRPr="00D9553E">
        <w:rPr>
          <w:rFonts w:ascii="Times New Roman" w:hAnsi="Times New Roman" w:cs="Times New Roman"/>
          <w:sz w:val="24"/>
          <w:szCs w:val="24"/>
        </w:rPr>
        <w:t xml:space="preserve"> proprio in applicazione di una logica </w:t>
      </w:r>
      <w:r w:rsidR="00896D3B" w:rsidRPr="00D9553E">
        <w:rPr>
          <w:rFonts w:ascii="Times New Roman" w:hAnsi="Times New Roman" w:cs="Times New Roman"/>
          <w:i/>
          <w:sz w:val="24"/>
          <w:szCs w:val="24"/>
        </w:rPr>
        <w:t xml:space="preserve">lato </w:t>
      </w:r>
      <w:proofErr w:type="spellStart"/>
      <w:r w:rsidR="00896D3B" w:rsidRPr="00D9553E">
        <w:rPr>
          <w:rFonts w:ascii="Times New Roman" w:hAnsi="Times New Roman" w:cs="Times New Roman"/>
          <w:i/>
          <w:sz w:val="24"/>
          <w:szCs w:val="24"/>
        </w:rPr>
        <w:t>sensu</w:t>
      </w:r>
      <w:proofErr w:type="spellEnd"/>
      <w:r w:rsidR="00896D3B" w:rsidRPr="00D9553E">
        <w:rPr>
          <w:rFonts w:ascii="Times New Roman" w:hAnsi="Times New Roman" w:cs="Times New Roman"/>
          <w:sz w:val="24"/>
          <w:szCs w:val="24"/>
        </w:rPr>
        <w:t xml:space="preserve"> precauzionale,</w:t>
      </w:r>
      <w:r w:rsidR="004A29A1" w:rsidRPr="00D9553E">
        <w:rPr>
          <w:rFonts w:ascii="Times New Roman" w:hAnsi="Times New Roman" w:cs="Times New Roman"/>
          <w:sz w:val="24"/>
          <w:szCs w:val="24"/>
        </w:rPr>
        <w:t xml:space="preserve"> </w:t>
      </w:r>
      <w:r w:rsidR="00503D4A" w:rsidRPr="00D9553E">
        <w:rPr>
          <w:rFonts w:ascii="Times New Roman" w:hAnsi="Times New Roman" w:cs="Times New Roman"/>
          <w:sz w:val="24"/>
          <w:szCs w:val="24"/>
        </w:rPr>
        <w:t xml:space="preserve">è </w:t>
      </w:r>
      <w:r w:rsidR="004A29A1" w:rsidRPr="00D9553E">
        <w:rPr>
          <w:rFonts w:ascii="Times New Roman" w:hAnsi="Times New Roman" w:cs="Times New Roman"/>
          <w:sz w:val="24"/>
          <w:szCs w:val="24"/>
        </w:rPr>
        <w:t>consent</w:t>
      </w:r>
      <w:r w:rsidR="00503D4A" w:rsidRPr="00D9553E">
        <w:rPr>
          <w:rFonts w:ascii="Times New Roman" w:hAnsi="Times New Roman" w:cs="Times New Roman"/>
          <w:sz w:val="24"/>
          <w:szCs w:val="24"/>
        </w:rPr>
        <w:t xml:space="preserve">ito </w:t>
      </w:r>
      <w:r w:rsidR="00AD2FFC" w:rsidRPr="00D9553E">
        <w:rPr>
          <w:rFonts w:ascii="Times New Roman" w:hAnsi="Times New Roman" w:cs="Times New Roman"/>
          <w:sz w:val="24"/>
          <w:szCs w:val="24"/>
        </w:rPr>
        <w:t xml:space="preserve">alle </w:t>
      </w:r>
      <w:r w:rsidR="004A29A1" w:rsidRPr="00D9553E">
        <w:rPr>
          <w:rFonts w:ascii="Times New Roman" w:hAnsi="Times New Roman" w:cs="Times New Roman"/>
          <w:sz w:val="24"/>
          <w:szCs w:val="24"/>
        </w:rPr>
        <w:t xml:space="preserve">autorità competenti di adottare provvedimenti </w:t>
      </w:r>
      <w:r w:rsidR="00503D4A" w:rsidRPr="00D9553E">
        <w:rPr>
          <w:rFonts w:ascii="Times New Roman" w:hAnsi="Times New Roman" w:cs="Times New Roman"/>
          <w:sz w:val="24"/>
          <w:szCs w:val="24"/>
        </w:rPr>
        <w:t xml:space="preserve">tempestivi </w:t>
      </w:r>
      <w:r w:rsidR="004A29A1" w:rsidRPr="00D9553E">
        <w:rPr>
          <w:rFonts w:ascii="Times New Roman" w:hAnsi="Times New Roman" w:cs="Times New Roman"/>
          <w:sz w:val="24"/>
          <w:szCs w:val="24"/>
        </w:rPr>
        <w:t>al fine di prevenire i rischi potenziali per la sanità pubblica</w:t>
      </w:r>
      <w:r w:rsidR="00503D4A" w:rsidRPr="00D9553E">
        <w:rPr>
          <w:rFonts w:ascii="Times New Roman" w:hAnsi="Times New Roman" w:cs="Times New Roman"/>
          <w:sz w:val="24"/>
          <w:szCs w:val="24"/>
        </w:rPr>
        <w:t xml:space="preserve"> e la salute delle persone</w:t>
      </w:r>
      <w:r w:rsidR="004A29A1" w:rsidRPr="00D9553E">
        <w:rPr>
          <w:rFonts w:ascii="Times New Roman" w:hAnsi="Times New Roman" w:cs="Times New Roman"/>
          <w:sz w:val="24"/>
          <w:szCs w:val="24"/>
        </w:rPr>
        <w:t xml:space="preserve">, per la sicurezza e per </w:t>
      </w:r>
      <w:r w:rsidR="00C64913" w:rsidRPr="00D9553E">
        <w:rPr>
          <w:rFonts w:ascii="Times New Roman" w:hAnsi="Times New Roman" w:cs="Times New Roman"/>
          <w:sz w:val="24"/>
          <w:szCs w:val="24"/>
        </w:rPr>
        <w:t>l'ambiente anche quando sussista</w:t>
      </w:r>
      <w:r w:rsidR="004A29A1" w:rsidRPr="00D9553E">
        <w:rPr>
          <w:rFonts w:ascii="Times New Roman" w:hAnsi="Times New Roman" w:cs="Times New Roman"/>
          <w:sz w:val="24"/>
          <w:szCs w:val="24"/>
        </w:rPr>
        <w:t xml:space="preserve">no incertezze riguardo all'esistenza o alla portata di </w:t>
      </w:r>
      <w:r w:rsidR="00503D4A" w:rsidRPr="00D9553E">
        <w:rPr>
          <w:rFonts w:ascii="Times New Roman" w:hAnsi="Times New Roman" w:cs="Times New Roman"/>
          <w:sz w:val="24"/>
          <w:szCs w:val="24"/>
        </w:rPr>
        <w:t xml:space="preserve">siffatti </w:t>
      </w:r>
      <w:r w:rsidR="004A29A1" w:rsidRPr="00D9553E">
        <w:rPr>
          <w:rFonts w:ascii="Times New Roman" w:hAnsi="Times New Roman" w:cs="Times New Roman"/>
          <w:sz w:val="24"/>
          <w:szCs w:val="24"/>
        </w:rPr>
        <w:t>ris</w:t>
      </w:r>
      <w:r w:rsidR="00503D4A" w:rsidRPr="00D9553E">
        <w:rPr>
          <w:rFonts w:ascii="Times New Roman" w:hAnsi="Times New Roman" w:cs="Times New Roman"/>
          <w:sz w:val="24"/>
          <w:szCs w:val="24"/>
        </w:rPr>
        <w:t>chi,</w:t>
      </w:r>
      <w:r w:rsidR="004A29A1" w:rsidRPr="00D9553E">
        <w:rPr>
          <w:rFonts w:ascii="Times New Roman" w:hAnsi="Times New Roman" w:cs="Times New Roman"/>
          <w:sz w:val="24"/>
          <w:szCs w:val="24"/>
        </w:rPr>
        <w:t xml:space="preserve"> senza </w:t>
      </w:r>
      <w:r w:rsidR="00F57CD3" w:rsidRPr="00D9553E">
        <w:rPr>
          <w:rFonts w:ascii="Times New Roman" w:hAnsi="Times New Roman" w:cs="Times New Roman"/>
          <w:sz w:val="24"/>
          <w:szCs w:val="24"/>
        </w:rPr>
        <w:t>che l’</w:t>
      </w:r>
      <w:r w:rsidR="00503D4A" w:rsidRPr="00D9553E">
        <w:rPr>
          <w:rFonts w:ascii="Times New Roman" w:hAnsi="Times New Roman" w:cs="Times New Roman"/>
          <w:sz w:val="24"/>
          <w:szCs w:val="24"/>
        </w:rPr>
        <w:t xml:space="preserve">Amministrazione debba </w:t>
      </w:r>
      <w:r w:rsidR="004A29A1" w:rsidRPr="00D9553E">
        <w:rPr>
          <w:rFonts w:ascii="Times New Roman" w:hAnsi="Times New Roman" w:cs="Times New Roman"/>
          <w:sz w:val="24"/>
          <w:szCs w:val="24"/>
        </w:rPr>
        <w:t>attendere che siano esaurientemente dimostrate la realtà e la gravità d</w:t>
      </w:r>
      <w:r w:rsidR="00630807" w:rsidRPr="00D9553E">
        <w:rPr>
          <w:rFonts w:ascii="Times New Roman" w:hAnsi="Times New Roman" w:cs="Times New Roman"/>
          <w:sz w:val="24"/>
          <w:szCs w:val="24"/>
        </w:rPr>
        <w:t>egli stessi</w:t>
      </w:r>
      <w:r w:rsidR="004A29A1" w:rsidRPr="00D9553E">
        <w:rPr>
          <w:rFonts w:ascii="Times New Roman" w:hAnsi="Times New Roman" w:cs="Times New Roman"/>
          <w:sz w:val="24"/>
          <w:szCs w:val="24"/>
        </w:rPr>
        <w:t>.</w:t>
      </w:r>
    </w:p>
    <w:p w14:paraId="7A3D8805" w14:textId="377B8F2F" w:rsidR="004A29A1" w:rsidRPr="00D9553E" w:rsidRDefault="0015152C"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A3B9A" w:rsidRPr="00D9553E">
        <w:rPr>
          <w:rFonts w:ascii="Times New Roman" w:hAnsi="Times New Roman" w:cs="Times New Roman"/>
          <w:sz w:val="24"/>
          <w:szCs w:val="24"/>
        </w:rPr>
        <w:t xml:space="preserve">Tuttavia, la </w:t>
      </w:r>
      <w:r w:rsidR="00630807" w:rsidRPr="00D9553E">
        <w:rPr>
          <w:rFonts w:ascii="Times New Roman" w:hAnsi="Times New Roman" w:cs="Times New Roman"/>
          <w:sz w:val="24"/>
          <w:szCs w:val="24"/>
        </w:rPr>
        <w:t>Commissione avvert</w:t>
      </w:r>
      <w:r w:rsidR="00BA3B9A" w:rsidRPr="00D9553E">
        <w:rPr>
          <w:rFonts w:ascii="Times New Roman" w:hAnsi="Times New Roman" w:cs="Times New Roman"/>
          <w:sz w:val="24"/>
          <w:szCs w:val="24"/>
        </w:rPr>
        <w:t>e</w:t>
      </w:r>
      <w:r w:rsidR="000D4420" w:rsidRPr="00D9553E">
        <w:rPr>
          <w:rFonts w:ascii="Times New Roman" w:hAnsi="Times New Roman" w:cs="Times New Roman"/>
          <w:sz w:val="24"/>
          <w:szCs w:val="24"/>
        </w:rPr>
        <w:t xml:space="preserve"> la necessità di chiarire che</w:t>
      </w:r>
      <w:r w:rsidR="00BA3B9A" w:rsidRPr="00D9553E">
        <w:rPr>
          <w:rFonts w:ascii="Times New Roman" w:hAnsi="Times New Roman" w:cs="Times New Roman"/>
          <w:sz w:val="24"/>
          <w:szCs w:val="24"/>
        </w:rPr>
        <w:t xml:space="preserve"> l’esigenza cautelativa</w:t>
      </w:r>
      <w:r w:rsidR="000D4420" w:rsidRPr="00D9553E">
        <w:rPr>
          <w:rFonts w:ascii="Times New Roman" w:hAnsi="Times New Roman" w:cs="Times New Roman"/>
          <w:sz w:val="24"/>
          <w:szCs w:val="24"/>
        </w:rPr>
        <w:t xml:space="preserve"> non può valere a fondare azioni delle Amministrazioni volte alla </w:t>
      </w:r>
      <w:r w:rsidR="000C16AE" w:rsidRPr="00D9553E">
        <w:rPr>
          <w:rFonts w:ascii="Times New Roman" w:hAnsi="Times New Roman" w:cs="Times New Roman"/>
          <w:sz w:val="24"/>
          <w:szCs w:val="24"/>
        </w:rPr>
        <w:t>«</w:t>
      </w:r>
      <w:r w:rsidR="004A29A1" w:rsidRPr="00D9553E">
        <w:rPr>
          <w:rFonts w:ascii="Times New Roman" w:hAnsi="Times New Roman" w:cs="Times New Roman"/>
          <w:i/>
          <w:sz w:val="24"/>
          <w:szCs w:val="24"/>
        </w:rPr>
        <w:t>ricerca di un livello zero di rischio che, nella realtà, esiste solo raramente</w:t>
      </w:r>
      <w:r w:rsidR="000C16AE" w:rsidRPr="00D9553E">
        <w:rPr>
          <w:rFonts w:ascii="Times New Roman" w:hAnsi="Times New Roman" w:cs="Times New Roman"/>
          <w:sz w:val="24"/>
          <w:szCs w:val="24"/>
        </w:rPr>
        <w:t>»</w:t>
      </w:r>
      <w:r w:rsidR="000D4420" w:rsidRPr="00D9553E">
        <w:rPr>
          <w:rFonts w:ascii="Times New Roman" w:hAnsi="Times New Roman" w:cs="Times New Roman"/>
          <w:sz w:val="24"/>
          <w:szCs w:val="24"/>
        </w:rPr>
        <w:t xml:space="preserve">, né </w:t>
      </w:r>
      <w:r w:rsidR="000C16AE" w:rsidRPr="00D9553E">
        <w:rPr>
          <w:rFonts w:ascii="Times New Roman" w:hAnsi="Times New Roman" w:cs="Times New Roman"/>
          <w:sz w:val="24"/>
          <w:szCs w:val="24"/>
        </w:rPr>
        <w:t>«</w:t>
      </w:r>
      <w:r w:rsidR="000D4420" w:rsidRPr="00D9553E">
        <w:rPr>
          <w:rFonts w:ascii="Times New Roman" w:hAnsi="Times New Roman" w:cs="Times New Roman"/>
          <w:i/>
          <w:sz w:val="24"/>
          <w:szCs w:val="24"/>
        </w:rPr>
        <w:t xml:space="preserve">fungere da giustificazione per un protezionismo </w:t>
      </w:r>
      <w:proofErr w:type="gramStart"/>
      <w:r w:rsidR="000D4420" w:rsidRPr="00D9553E">
        <w:rPr>
          <w:rFonts w:ascii="Times New Roman" w:hAnsi="Times New Roman" w:cs="Times New Roman"/>
          <w:i/>
          <w:sz w:val="24"/>
          <w:szCs w:val="24"/>
        </w:rPr>
        <w:t>mascherato</w:t>
      </w:r>
      <w:r w:rsidR="000C16AE" w:rsidRPr="00D9553E">
        <w:rPr>
          <w:rFonts w:ascii="Times New Roman" w:hAnsi="Times New Roman" w:cs="Times New Roman"/>
          <w:sz w:val="24"/>
          <w:szCs w:val="24"/>
        </w:rPr>
        <w:t>»</w:t>
      </w:r>
      <w:proofErr w:type="gramEnd"/>
      <w:r w:rsidR="000D4420" w:rsidRPr="00D9553E">
        <w:rPr>
          <w:rStyle w:val="Rimandonotaapidipagina"/>
          <w:rFonts w:ascii="Times New Roman" w:hAnsi="Times New Roman" w:cs="Times New Roman"/>
          <w:sz w:val="24"/>
          <w:szCs w:val="24"/>
        </w:rPr>
        <w:footnoteReference w:id="15"/>
      </w:r>
      <w:proofErr w:type="gramStart"/>
      <w:r w:rsidR="004A29A1" w:rsidRPr="00D9553E">
        <w:rPr>
          <w:rFonts w:ascii="Times New Roman" w:hAnsi="Times New Roman" w:cs="Times New Roman"/>
          <w:sz w:val="24"/>
          <w:szCs w:val="24"/>
        </w:rPr>
        <w:t>.</w:t>
      </w:r>
    </w:p>
    <w:p w14:paraId="25981956" w14:textId="1A30DFEF" w:rsidR="00F25BC1" w:rsidRPr="00D9553E" w:rsidRDefault="0015152C" w:rsidP="00E9248E">
      <w:pPr>
        <w:spacing w:after="0" w:line="360" w:lineRule="auto"/>
        <w:contextualSpacing/>
        <w:jc w:val="both"/>
        <w:rPr>
          <w:rFonts w:ascii="Times New Roman" w:hAnsi="Times New Roman" w:cs="Times New Roman"/>
          <w:sz w:val="24"/>
          <w:szCs w:val="24"/>
        </w:rPr>
      </w:pPr>
      <w:proofErr w:type="gramEnd"/>
      <w:r>
        <w:rPr>
          <w:rFonts w:ascii="Times New Roman" w:hAnsi="Times New Roman" w:cs="Times New Roman"/>
          <w:sz w:val="24"/>
          <w:szCs w:val="24"/>
        </w:rPr>
        <w:tab/>
      </w:r>
      <w:r w:rsidR="007E1F68" w:rsidRPr="00D9553E">
        <w:rPr>
          <w:rFonts w:ascii="Times New Roman" w:hAnsi="Times New Roman" w:cs="Times New Roman"/>
          <w:sz w:val="24"/>
          <w:szCs w:val="24"/>
        </w:rPr>
        <w:t>L</w:t>
      </w:r>
      <w:r w:rsidR="00CE6C37" w:rsidRPr="00D9553E">
        <w:rPr>
          <w:rFonts w:ascii="Times New Roman" w:hAnsi="Times New Roman" w:cs="Times New Roman"/>
          <w:sz w:val="24"/>
          <w:szCs w:val="24"/>
        </w:rPr>
        <w:t xml:space="preserve">a sua </w:t>
      </w:r>
      <w:r w:rsidR="00087C43" w:rsidRPr="00D9553E">
        <w:rPr>
          <w:rFonts w:ascii="Times New Roman" w:hAnsi="Times New Roman" w:cs="Times New Roman"/>
          <w:sz w:val="24"/>
          <w:szCs w:val="24"/>
        </w:rPr>
        <w:t xml:space="preserve">applicazione </w:t>
      </w:r>
      <w:r w:rsidR="00EB04EB" w:rsidRPr="00D9553E">
        <w:rPr>
          <w:rFonts w:ascii="Times New Roman" w:hAnsi="Times New Roman" w:cs="Times New Roman"/>
          <w:sz w:val="24"/>
          <w:szCs w:val="24"/>
        </w:rPr>
        <w:t>presuppone una «</w:t>
      </w:r>
      <w:r w:rsidR="00265700" w:rsidRPr="00D9553E">
        <w:rPr>
          <w:rFonts w:ascii="Times New Roman" w:hAnsi="Times New Roman" w:cs="Times New Roman"/>
          <w:i/>
          <w:sz w:val="24"/>
          <w:szCs w:val="24"/>
        </w:rPr>
        <w:t xml:space="preserve">valutazione scientifica quanto più completa possibile, identificando in ciascuna fase il grado </w:t>
      </w:r>
      <w:proofErr w:type="gramStart"/>
      <w:r w:rsidR="00265700" w:rsidRPr="00D9553E">
        <w:rPr>
          <w:rFonts w:ascii="Times New Roman" w:hAnsi="Times New Roman" w:cs="Times New Roman"/>
          <w:i/>
          <w:sz w:val="24"/>
          <w:szCs w:val="24"/>
        </w:rPr>
        <w:t xml:space="preserve">di </w:t>
      </w:r>
      <w:proofErr w:type="gramEnd"/>
      <w:r w:rsidR="00265700" w:rsidRPr="00D9553E">
        <w:rPr>
          <w:rFonts w:ascii="Times New Roman" w:hAnsi="Times New Roman" w:cs="Times New Roman"/>
          <w:i/>
          <w:sz w:val="24"/>
          <w:szCs w:val="24"/>
        </w:rPr>
        <w:t>incertezza scientifica</w:t>
      </w:r>
      <w:r w:rsidR="00EB04EB" w:rsidRPr="00D9553E">
        <w:rPr>
          <w:rFonts w:ascii="Times New Roman" w:hAnsi="Times New Roman" w:cs="Times New Roman"/>
          <w:sz w:val="24"/>
          <w:szCs w:val="24"/>
        </w:rPr>
        <w:t>»</w:t>
      </w:r>
      <w:r w:rsidR="00EB04EB" w:rsidRPr="00D9553E">
        <w:rPr>
          <w:rStyle w:val="Rimandonotaapidipagina"/>
          <w:rFonts w:ascii="Times New Roman" w:hAnsi="Times New Roman" w:cs="Times New Roman"/>
          <w:sz w:val="24"/>
          <w:szCs w:val="24"/>
        </w:rPr>
        <w:footnoteReference w:id="16"/>
      </w:r>
      <w:r w:rsidR="0034185A" w:rsidRPr="00D9553E">
        <w:rPr>
          <w:rFonts w:ascii="Times New Roman" w:hAnsi="Times New Roman" w:cs="Times New Roman"/>
          <w:sz w:val="24"/>
          <w:szCs w:val="24"/>
        </w:rPr>
        <w:t xml:space="preserve"> </w:t>
      </w:r>
      <w:proofErr w:type="gramStart"/>
      <w:r w:rsidR="00265700" w:rsidRPr="00D9553E">
        <w:rPr>
          <w:rFonts w:ascii="Times New Roman" w:hAnsi="Times New Roman" w:cs="Times New Roman"/>
          <w:sz w:val="24"/>
          <w:szCs w:val="24"/>
        </w:rPr>
        <w:t>e</w:t>
      </w:r>
      <w:proofErr w:type="gramEnd"/>
      <w:r w:rsidR="00265700" w:rsidRPr="00D9553E">
        <w:rPr>
          <w:rFonts w:ascii="Times New Roman" w:hAnsi="Times New Roman" w:cs="Times New Roman"/>
          <w:sz w:val="24"/>
          <w:szCs w:val="24"/>
        </w:rPr>
        <w:t xml:space="preserve"> </w:t>
      </w:r>
      <w:r w:rsidR="00F25BC1" w:rsidRPr="00D9553E">
        <w:rPr>
          <w:rFonts w:ascii="Times New Roman" w:hAnsi="Times New Roman" w:cs="Times New Roman"/>
          <w:sz w:val="24"/>
          <w:szCs w:val="24"/>
        </w:rPr>
        <w:t>si colloca per</w:t>
      </w:r>
      <w:r w:rsidR="00087C43" w:rsidRPr="00D9553E">
        <w:rPr>
          <w:rFonts w:ascii="Times New Roman" w:hAnsi="Times New Roman" w:cs="Times New Roman"/>
          <w:sz w:val="24"/>
          <w:szCs w:val="24"/>
        </w:rPr>
        <w:t xml:space="preserve">ciò </w:t>
      </w:r>
      <w:r w:rsidR="00503D4A" w:rsidRPr="00D9553E">
        <w:rPr>
          <w:rFonts w:ascii="Times New Roman" w:hAnsi="Times New Roman" w:cs="Times New Roman"/>
          <w:sz w:val="24"/>
          <w:szCs w:val="24"/>
        </w:rPr>
        <w:t xml:space="preserve">–questo </w:t>
      </w:r>
      <w:r w:rsidR="00CE6C37" w:rsidRPr="00D9553E">
        <w:rPr>
          <w:rFonts w:ascii="Times New Roman" w:hAnsi="Times New Roman" w:cs="Times New Roman"/>
          <w:sz w:val="24"/>
          <w:szCs w:val="24"/>
        </w:rPr>
        <w:t>appare</w:t>
      </w:r>
      <w:r w:rsidR="00503D4A" w:rsidRPr="00D9553E">
        <w:rPr>
          <w:rFonts w:ascii="Times New Roman" w:hAnsi="Times New Roman" w:cs="Times New Roman"/>
          <w:sz w:val="24"/>
          <w:szCs w:val="24"/>
        </w:rPr>
        <w:t xml:space="preserve"> fondamentale come parametro della legittimità</w:t>
      </w:r>
      <w:r w:rsidR="004432FE" w:rsidRPr="00D9553E">
        <w:rPr>
          <w:rFonts w:ascii="Times New Roman" w:hAnsi="Times New Roman" w:cs="Times New Roman"/>
          <w:sz w:val="24"/>
          <w:szCs w:val="24"/>
        </w:rPr>
        <w:t xml:space="preserve">– </w:t>
      </w:r>
      <w:r w:rsidR="00087C43" w:rsidRPr="00D9553E">
        <w:rPr>
          <w:rFonts w:ascii="Times New Roman" w:hAnsi="Times New Roman" w:cs="Times New Roman"/>
          <w:sz w:val="24"/>
          <w:szCs w:val="24"/>
        </w:rPr>
        <w:t xml:space="preserve">“a </w:t>
      </w:r>
      <w:r w:rsidR="00087C43" w:rsidRPr="00D9553E">
        <w:rPr>
          <w:rFonts w:ascii="Times New Roman" w:hAnsi="Times New Roman" w:cs="Times New Roman"/>
          <w:sz w:val="24"/>
          <w:szCs w:val="24"/>
        </w:rPr>
        <w:lastRenderedPageBreak/>
        <w:t xml:space="preserve">valle” </w:t>
      </w:r>
      <w:r w:rsidR="00F25BC1" w:rsidRPr="00D9553E">
        <w:rPr>
          <w:rFonts w:ascii="Times New Roman" w:hAnsi="Times New Roman" w:cs="Times New Roman"/>
          <w:sz w:val="24"/>
          <w:szCs w:val="24"/>
        </w:rPr>
        <w:t>di un processo di valutazione scientifica obiettiva</w:t>
      </w:r>
      <w:r w:rsidR="00630807" w:rsidRPr="00D9553E">
        <w:rPr>
          <w:rFonts w:ascii="Times New Roman" w:hAnsi="Times New Roman" w:cs="Times New Roman"/>
          <w:sz w:val="24"/>
          <w:szCs w:val="24"/>
        </w:rPr>
        <w:t>,</w:t>
      </w:r>
      <w:r w:rsidR="00087C43" w:rsidRPr="00D9553E">
        <w:rPr>
          <w:rFonts w:ascii="Times New Roman" w:hAnsi="Times New Roman" w:cs="Times New Roman"/>
          <w:sz w:val="24"/>
          <w:szCs w:val="24"/>
        </w:rPr>
        <w:t xml:space="preserve"> sulla cui base il decisore politico stabilisce se e come agire</w:t>
      </w:r>
      <w:r w:rsidR="002F34A8" w:rsidRPr="00D9553E">
        <w:rPr>
          <w:rFonts w:ascii="Times New Roman" w:hAnsi="Times New Roman" w:cs="Times New Roman"/>
          <w:sz w:val="24"/>
          <w:szCs w:val="24"/>
        </w:rPr>
        <w:t xml:space="preserve"> a fronte del rischio paventato</w:t>
      </w:r>
      <w:r w:rsidR="00087C43" w:rsidRPr="00D9553E">
        <w:rPr>
          <w:rFonts w:ascii="Times New Roman" w:hAnsi="Times New Roman" w:cs="Times New Roman"/>
          <w:sz w:val="24"/>
          <w:szCs w:val="24"/>
        </w:rPr>
        <w:t>.</w:t>
      </w:r>
    </w:p>
    <w:p w14:paraId="5710BE73" w14:textId="2A44F4E0" w:rsidR="004E4110" w:rsidRPr="00D9553E" w:rsidRDefault="0015152C"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86425" w:rsidRPr="00D9553E">
        <w:rPr>
          <w:rFonts w:ascii="Times New Roman" w:hAnsi="Times New Roman" w:cs="Times New Roman"/>
          <w:sz w:val="24"/>
          <w:szCs w:val="24"/>
        </w:rPr>
        <w:t>Ne risulta che,</w:t>
      </w:r>
      <w:r w:rsidR="007E1F68" w:rsidRPr="00D9553E">
        <w:rPr>
          <w:rFonts w:ascii="Times New Roman" w:hAnsi="Times New Roman" w:cs="Times New Roman"/>
          <w:sz w:val="24"/>
          <w:szCs w:val="24"/>
        </w:rPr>
        <w:t xml:space="preserve"> affinché </w:t>
      </w:r>
      <w:r w:rsidR="004E4110" w:rsidRPr="00D9553E">
        <w:rPr>
          <w:rFonts w:ascii="Times New Roman" w:hAnsi="Times New Roman" w:cs="Times New Roman"/>
          <w:sz w:val="24"/>
          <w:szCs w:val="24"/>
        </w:rPr>
        <w:t xml:space="preserve">il </w:t>
      </w:r>
      <w:r w:rsidR="00630807" w:rsidRPr="00D9553E">
        <w:rPr>
          <w:rFonts w:ascii="Times New Roman" w:hAnsi="Times New Roman" w:cs="Times New Roman"/>
          <w:sz w:val="24"/>
          <w:szCs w:val="24"/>
        </w:rPr>
        <w:t>principio</w:t>
      </w:r>
      <w:r w:rsidR="004E4110" w:rsidRPr="00D9553E">
        <w:rPr>
          <w:rFonts w:ascii="Times New Roman" w:hAnsi="Times New Roman" w:cs="Times New Roman"/>
          <w:sz w:val="24"/>
          <w:szCs w:val="24"/>
        </w:rPr>
        <w:t xml:space="preserve"> </w:t>
      </w:r>
      <w:r w:rsidR="00C86425" w:rsidRPr="00D9553E">
        <w:rPr>
          <w:rFonts w:ascii="Times New Roman" w:hAnsi="Times New Roman" w:cs="Times New Roman"/>
          <w:sz w:val="24"/>
          <w:szCs w:val="24"/>
        </w:rPr>
        <w:t xml:space="preserve">in argomento </w:t>
      </w:r>
      <w:r w:rsidR="004E4110" w:rsidRPr="00D9553E">
        <w:rPr>
          <w:rFonts w:ascii="Times New Roman" w:hAnsi="Times New Roman" w:cs="Times New Roman"/>
          <w:sz w:val="24"/>
          <w:szCs w:val="24"/>
        </w:rPr>
        <w:t>possa essere invocato</w:t>
      </w:r>
      <w:r w:rsidR="00C86425" w:rsidRPr="00D9553E">
        <w:rPr>
          <w:rFonts w:ascii="Times New Roman" w:hAnsi="Times New Roman" w:cs="Times New Roman"/>
          <w:sz w:val="24"/>
          <w:szCs w:val="24"/>
        </w:rPr>
        <w:t>,</w:t>
      </w:r>
      <w:r w:rsidR="004E4110" w:rsidRPr="00D9553E">
        <w:rPr>
          <w:rFonts w:ascii="Times New Roman" w:hAnsi="Times New Roman" w:cs="Times New Roman"/>
          <w:sz w:val="24"/>
          <w:szCs w:val="24"/>
        </w:rPr>
        <w:t xml:space="preserve"> è necessario che</w:t>
      </w:r>
      <w:r w:rsidR="000A16BB">
        <w:rPr>
          <w:rFonts w:ascii="Times New Roman" w:hAnsi="Times New Roman" w:cs="Times New Roman"/>
          <w:sz w:val="24"/>
          <w:szCs w:val="24"/>
        </w:rPr>
        <w:t xml:space="preserve"> si rilevi preliminarmente sul piano obiettivo il sussistere di un grado apprezzabile </w:t>
      </w:r>
      <w:proofErr w:type="gramStart"/>
      <w:r w:rsidR="000A16BB">
        <w:rPr>
          <w:rFonts w:ascii="Times New Roman" w:hAnsi="Times New Roman" w:cs="Times New Roman"/>
          <w:sz w:val="24"/>
          <w:szCs w:val="24"/>
        </w:rPr>
        <w:t>di</w:t>
      </w:r>
      <w:r w:rsidR="004E4110" w:rsidRPr="00D9553E">
        <w:rPr>
          <w:rFonts w:ascii="Times New Roman" w:hAnsi="Times New Roman" w:cs="Times New Roman"/>
          <w:sz w:val="24"/>
          <w:szCs w:val="24"/>
        </w:rPr>
        <w:t xml:space="preserve"> </w:t>
      </w:r>
      <w:proofErr w:type="gramEnd"/>
      <w:r w:rsidR="00C64913" w:rsidRPr="00D9553E">
        <w:rPr>
          <w:rFonts w:ascii="Times New Roman" w:hAnsi="Times New Roman" w:cs="Times New Roman"/>
          <w:sz w:val="24"/>
          <w:szCs w:val="24"/>
        </w:rPr>
        <w:t xml:space="preserve">incertezza nella </w:t>
      </w:r>
      <w:r w:rsidR="004E4110" w:rsidRPr="00D9553E">
        <w:rPr>
          <w:rFonts w:ascii="Times New Roman" w:hAnsi="Times New Roman" w:cs="Times New Roman"/>
          <w:sz w:val="24"/>
          <w:szCs w:val="24"/>
        </w:rPr>
        <w:t>comunità scientifica</w:t>
      </w:r>
      <w:r w:rsidR="00C64913" w:rsidRPr="00D9553E">
        <w:rPr>
          <w:rFonts w:ascii="Times New Roman" w:hAnsi="Times New Roman" w:cs="Times New Roman"/>
          <w:sz w:val="24"/>
          <w:szCs w:val="24"/>
        </w:rPr>
        <w:t xml:space="preserve"> </w:t>
      </w:r>
      <w:r w:rsidR="004E4110" w:rsidRPr="00D9553E">
        <w:rPr>
          <w:rFonts w:ascii="Times New Roman" w:hAnsi="Times New Roman" w:cs="Times New Roman"/>
          <w:sz w:val="24"/>
          <w:szCs w:val="24"/>
        </w:rPr>
        <w:t>in ordine alle conseguenze pregiudizievoli che da tale situazione discenderanno per la salute umana o per l’ambiente.</w:t>
      </w:r>
    </w:p>
    <w:p w14:paraId="3867232F" w14:textId="2C96C686" w:rsidR="0099163C" w:rsidRPr="00D9553E" w:rsidRDefault="0015152C"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99163C" w:rsidRPr="00D9553E">
        <w:rPr>
          <w:rFonts w:ascii="Times New Roman" w:hAnsi="Times New Roman" w:cs="Times New Roman"/>
          <w:sz w:val="24"/>
          <w:szCs w:val="24"/>
        </w:rPr>
        <w:t>In altri termini</w:t>
      </w:r>
      <w:r w:rsidR="00D26F42" w:rsidRPr="00D9553E">
        <w:rPr>
          <w:rFonts w:ascii="Times New Roman" w:hAnsi="Times New Roman" w:cs="Times New Roman"/>
          <w:sz w:val="24"/>
          <w:szCs w:val="24"/>
        </w:rPr>
        <w:t>:</w:t>
      </w:r>
      <w:r w:rsidR="0099163C" w:rsidRPr="00D9553E">
        <w:rPr>
          <w:rFonts w:ascii="Times New Roman" w:hAnsi="Times New Roman" w:cs="Times New Roman"/>
          <w:sz w:val="24"/>
          <w:szCs w:val="24"/>
        </w:rPr>
        <w:t xml:space="preserve"> la “precauzione” in senso giuridico assume una sua precisa consistenza</w:t>
      </w:r>
      <w:r w:rsidR="00D26F42" w:rsidRPr="00D9553E">
        <w:rPr>
          <w:rFonts w:ascii="Times New Roman" w:hAnsi="Times New Roman" w:cs="Times New Roman"/>
          <w:sz w:val="24"/>
          <w:szCs w:val="24"/>
        </w:rPr>
        <w:t>,</w:t>
      </w:r>
      <w:r w:rsidR="0099163C" w:rsidRPr="00D9553E">
        <w:rPr>
          <w:rFonts w:ascii="Times New Roman" w:hAnsi="Times New Roman" w:cs="Times New Roman"/>
          <w:sz w:val="24"/>
          <w:szCs w:val="24"/>
        </w:rPr>
        <w:t xml:space="preserve"> così discostandosi da una nozione atecnica (e metagiuridica) di precauzione intesa come scelta prudenziale</w:t>
      </w:r>
      <w:r w:rsidR="00D26F42" w:rsidRPr="00D9553E">
        <w:rPr>
          <w:rFonts w:ascii="Times New Roman" w:hAnsi="Times New Roman" w:cs="Times New Roman"/>
          <w:sz w:val="24"/>
          <w:szCs w:val="24"/>
        </w:rPr>
        <w:t>,</w:t>
      </w:r>
      <w:r w:rsidR="0099163C" w:rsidRPr="00D9553E">
        <w:rPr>
          <w:rFonts w:ascii="Times New Roman" w:hAnsi="Times New Roman" w:cs="Times New Roman"/>
          <w:sz w:val="24"/>
          <w:szCs w:val="24"/>
        </w:rPr>
        <w:t xml:space="preserve"> volta </w:t>
      </w:r>
      <w:proofErr w:type="gramStart"/>
      <w:r w:rsidR="0099163C" w:rsidRPr="00D9553E">
        <w:rPr>
          <w:rFonts w:ascii="Times New Roman" w:hAnsi="Times New Roman" w:cs="Times New Roman"/>
          <w:sz w:val="24"/>
          <w:szCs w:val="24"/>
        </w:rPr>
        <w:t>ad</w:t>
      </w:r>
      <w:proofErr w:type="gramEnd"/>
      <w:r w:rsidR="0099163C" w:rsidRPr="00D9553E">
        <w:rPr>
          <w:rFonts w:ascii="Times New Roman" w:hAnsi="Times New Roman" w:cs="Times New Roman"/>
          <w:sz w:val="24"/>
          <w:szCs w:val="24"/>
        </w:rPr>
        <w:t xml:space="preserve"> evitare (o almeno a comprimere al mi</w:t>
      </w:r>
      <w:r w:rsidR="00087C43" w:rsidRPr="00D9553E">
        <w:rPr>
          <w:rFonts w:ascii="Times New Roman" w:hAnsi="Times New Roman" w:cs="Times New Roman"/>
          <w:sz w:val="24"/>
          <w:szCs w:val="24"/>
        </w:rPr>
        <w:t xml:space="preserve">nimo) la possibilità </w:t>
      </w:r>
      <w:r w:rsidR="0099163C" w:rsidRPr="00D9553E">
        <w:rPr>
          <w:rFonts w:ascii="Times New Roman" w:hAnsi="Times New Roman" w:cs="Times New Roman"/>
          <w:sz w:val="24"/>
          <w:szCs w:val="24"/>
        </w:rPr>
        <w:t xml:space="preserve">che da una determinata condotta </w:t>
      </w:r>
      <w:r w:rsidR="00D26F42" w:rsidRPr="00D9553E">
        <w:rPr>
          <w:rFonts w:ascii="Times New Roman" w:hAnsi="Times New Roman" w:cs="Times New Roman"/>
          <w:sz w:val="24"/>
          <w:szCs w:val="24"/>
        </w:rPr>
        <w:t xml:space="preserve">deriva </w:t>
      </w:r>
      <w:r w:rsidR="007A7A11">
        <w:rPr>
          <w:rFonts w:ascii="Times New Roman" w:hAnsi="Times New Roman" w:cs="Times New Roman"/>
          <w:sz w:val="24"/>
          <w:szCs w:val="24"/>
        </w:rPr>
        <w:t>-</w:t>
      </w:r>
      <w:r w:rsidR="0099163C" w:rsidRPr="00D9553E">
        <w:rPr>
          <w:rFonts w:ascii="Times New Roman" w:hAnsi="Times New Roman" w:cs="Times New Roman"/>
          <w:sz w:val="24"/>
          <w:szCs w:val="24"/>
        </w:rPr>
        <w:t>in termini di causalità</w:t>
      </w:r>
      <w:r w:rsidR="007A7A11">
        <w:rPr>
          <w:rFonts w:ascii="Times New Roman" w:hAnsi="Times New Roman" w:cs="Times New Roman"/>
          <w:sz w:val="24"/>
          <w:szCs w:val="24"/>
        </w:rPr>
        <w:t>-</w:t>
      </w:r>
      <w:r w:rsidR="005D7D85" w:rsidRPr="00D9553E">
        <w:rPr>
          <w:rFonts w:ascii="Times New Roman" w:hAnsi="Times New Roman" w:cs="Times New Roman"/>
          <w:sz w:val="24"/>
          <w:szCs w:val="24"/>
        </w:rPr>
        <w:t xml:space="preserve"> </w:t>
      </w:r>
      <w:r w:rsidR="0099163C" w:rsidRPr="00D9553E">
        <w:rPr>
          <w:rFonts w:ascii="Times New Roman" w:hAnsi="Times New Roman" w:cs="Times New Roman"/>
          <w:sz w:val="24"/>
          <w:szCs w:val="24"/>
        </w:rPr>
        <w:t xml:space="preserve">un certo evento. </w:t>
      </w:r>
    </w:p>
    <w:p w14:paraId="67BDA102" w14:textId="6D712C56" w:rsidR="00265700" w:rsidRPr="00D9553E" w:rsidRDefault="001D4596"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25BC1" w:rsidRPr="00D9553E">
        <w:rPr>
          <w:rFonts w:ascii="Times New Roman" w:hAnsi="Times New Roman" w:cs="Times New Roman"/>
          <w:sz w:val="24"/>
          <w:szCs w:val="24"/>
        </w:rPr>
        <w:t>C</w:t>
      </w:r>
      <w:r w:rsidR="00B80E3B" w:rsidRPr="00D9553E">
        <w:rPr>
          <w:rFonts w:ascii="Times New Roman" w:hAnsi="Times New Roman" w:cs="Times New Roman"/>
          <w:sz w:val="24"/>
          <w:szCs w:val="24"/>
        </w:rPr>
        <w:t>osì inteso</w:t>
      </w:r>
      <w:r w:rsidR="00B26199" w:rsidRPr="00D9553E">
        <w:rPr>
          <w:rFonts w:ascii="Times New Roman" w:hAnsi="Times New Roman" w:cs="Times New Roman"/>
          <w:sz w:val="24"/>
          <w:szCs w:val="24"/>
        </w:rPr>
        <w:t>,</w:t>
      </w:r>
      <w:r w:rsidR="00B80E3B" w:rsidRPr="00D9553E">
        <w:rPr>
          <w:rFonts w:ascii="Times New Roman" w:hAnsi="Times New Roman" w:cs="Times New Roman"/>
          <w:sz w:val="24"/>
          <w:szCs w:val="24"/>
        </w:rPr>
        <w:t xml:space="preserve"> il </w:t>
      </w:r>
      <w:r w:rsidR="00630807" w:rsidRPr="00D9553E">
        <w:rPr>
          <w:rFonts w:ascii="Times New Roman" w:hAnsi="Times New Roman" w:cs="Times New Roman"/>
          <w:sz w:val="24"/>
          <w:szCs w:val="24"/>
        </w:rPr>
        <w:t>principio</w:t>
      </w:r>
      <w:r w:rsidR="00B80E3B" w:rsidRPr="00D9553E">
        <w:rPr>
          <w:rFonts w:ascii="Times New Roman" w:hAnsi="Times New Roman" w:cs="Times New Roman"/>
          <w:sz w:val="24"/>
          <w:szCs w:val="24"/>
        </w:rPr>
        <w:t xml:space="preserve"> costituisce fondamento teorico per una gestione prudenziale del rischio (insito nell’adozione</w:t>
      </w:r>
      <w:r w:rsidR="00F25BC1" w:rsidRPr="00D9553E">
        <w:rPr>
          <w:rFonts w:ascii="Times New Roman" w:hAnsi="Times New Roman" w:cs="Times New Roman"/>
          <w:sz w:val="24"/>
          <w:szCs w:val="24"/>
        </w:rPr>
        <w:t xml:space="preserve"> della decisione amministrativa)</w:t>
      </w:r>
      <w:r w:rsidR="008A5DB9" w:rsidRPr="00D9553E">
        <w:rPr>
          <w:rFonts w:ascii="Times New Roman" w:hAnsi="Times New Roman" w:cs="Times New Roman"/>
          <w:sz w:val="24"/>
          <w:szCs w:val="24"/>
        </w:rPr>
        <w:t xml:space="preserve"> ogni qual volta </w:t>
      </w:r>
      <w:r w:rsidR="00630807" w:rsidRPr="00D9553E">
        <w:rPr>
          <w:rFonts w:ascii="Times New Roman" w:hAnsi="Times New Roman" w:cs="Times New Roman"/>
          <w:sz w:val="24"/>
          <w:szCs w:val="24"/>
        </w:rPr>
        <w:t>i dati disponibili non consenta</w:t>
      </w:r>
      <w:r w:rsidR="00F25BC1" w:rsidRPr="00D9553E">
        <w:rPr>
          <w:rFonts w:ascii="Times New Roman" w:hAnsi="Times New Roman" w:cs="Times New Roman"/>
          <w:sz w:val="24"/>
          <w:szCs w:val="24"/>
        </w:rPr>
        <w:t xml:space="preserve">no una </w:t>
      </w:r>
      <w:r w:rsidR="00140298">
        <w:rPr>
          <w:rFonts w:ascii="Times New Roman" w:hAnsi="Times New Roman" w:cs="Times New Roman"/>
          <w:sz w:val="24"/>
          <w:szCs w:val="24"/>
        </w:rPr>
        <w:t xml:space="preserve">sua </w:t>
      </w:r>
      <w:r w:rsidR="00F25BC1" w:rsidRPr="00D9553E">
        <w:rPr>
          <w:rFonts w:ascii="Times New Roman" w:hAnsi="Times New Roman" w:cs="Times New Roman"/>
          <w:sz w:val="24"/>
          <w:szCs w:val="24"/>
        </w:rPr>
        <w:t xml:space="preserve">valutazione </w:t>
      </w:r>
      <w:r w:rsidR="008A5DB9" w:rsidRPr="00D9553E">
        <w:rPr>
          <w:rFonts w:ascii="Times New Roman" w:hAnsi="Times New Roman" w:cs="Times New Roman"/>
          <w:sz w:val="24"/>
          <w:szCs w:val="24"/>
        </w:rPr>
        <w:t xml:space="preserve">univoca. </w:t>
      </w:r>
    </w:p>
    <w:p w14:paraId="7AFF7395" w14:textId="77777777" w:rsidR="0080475D" w:rsidRDefault="001D4596" w:rsidP="001D4596">
      <w:pPr>
        <w:pStyle w:val="NormaleWeb"/>
        <w:spacing w:before="0" w:beforeAutospacing="0" w:after="0" w:afterAutospacing="0" w:line="360" w:lineRule="auto"/>
        <w:contextualSpacing/>
        <w:jc w:val="both"/>
      </w:pPr>
      <w:r>
        <w:tab/>
      </w:r>
      <w:r w:rsidR="00216D10" w:rsidRPr="00D9553E">
        <w:t>In estrema sintesi</w:t>
      </w:r>
      <w:r w:rsidR="00B23E85" w:rsidRPr="00D9553E">
        <w:t>:</w:t>
      </w:r>
      <w:r w:rsidR="00216D10" w:rsidRPr="00D9553E">
        <w:t xml:space="preserve"> nel complesso processo di “</w:t>
      </w:r>
      <w:r w:rsidR="00EB04EB" w:rsidRPr="00D9553E">
        <w:t>analisi del rischio”</w:t>
      </w:r>
      <w:r w:rsidR="005D7D85" w:rsidRPr="00D9553E">
        <w:t>,</w:t>
      </w:r>
      <w:r w:rsidR="00EB04EB" w:rsidRPr="00D9553E">
        <w:t xml:space="preserve"> mentre la</w:t>
      </w:r>
      <w:r w:rsidR="00B23E85" w:rsidRPr="00D9553E">
        <w:t xml:space="preserve"> sua</w:t>
      </w:r>
      <w:r w:rsidR="00EB04EB" w:rsidRPr="00D9553E">
        <w:t xml:space="preserve"> “</w:t>
      </w:r>
      <w:r w:rsidR="00216D10" w:rsidRPr="00D9553E">
        <w:t>valutazione</w:t>
      </w:r>
      <w:r w:rsidR="00EB04EB" w:rsidRPr="00D9553E">
        <w:t>”</w:t>
      </w:r>
      <w:r w:rsidR="00216D10" w:rsidRPr="00D9553E">
        <w:t xml:space="preserve"> in term</w:t>
      </w:r>
      <w:r w:rsidR="00503D4A" w:rsidRPr="00D9553E">
        <w:t xml:space="preserve">ini scientifici è riservata </w:t>
      </w:r>
      <w:proofErr w:type="gramStart"/>
      <w:r w:rsidR="00503D4A" w:rsidRPr="00D9553E">
        <w:t>ad</w:t>
      </w:r>
      <w:proofErr w:type="gramEnd"/>
      <w:r w:rsidR="00216D10" w:rsidRPr="00D9553E">
        <w:t xml:space="preserve"> esperti</w:t>
      </w:r>
      <w:r w:rsidR="00503D4A" w:rsidRPr="00D9553E">
        <w:t xml:space="preserve"> </w:t>
      </w:r>
      <w:r w:rsidR="00CE1F06">
        <w:t xml:space="preserve">deputati ad esercitare una funzione amministrativa </w:t>
      </w:r>
      <w:r w:rsidR="00503D4A" w:rsidRPr="00D9553E">
        <w:t>neutral</w:t>
      </w:r>
      <w:r w:rsidR="00CE1F06">
        <w:t>e</w:t>
      </w:r>
      <w:r w:rsidR="00EB04EB" w:rsidRPr="00D9553E">
        <w:t>, la “</w:t>
      </w:r>
      <w:r w:rsidR="00216D10" w:rsidRPr="00D9553E">
        <w:t>gestione</w:t>
      </w:r>
      <w:r w:rsidR="00EB04EB" w:rsidRPr="00D9553E">
        <w:t>”</w:t>
      </w:r>
      <w:r w:rsidR="00B23E85" w:rsidRPr="00D9553E">
        <w:t>, invece,</w:t>
      </w:r>
      <w:r w:rsidR="00216D10" w:rsidRPr="00D9553E">
        <w:t xml:space="preserve"> </w:t>
      </w:r>
      <w:r w:rsidR="00BE2291" w:rsidRPr="00D9553E">
        <w:t>spetta al</w:t>
      </w:r>
      <w:r w:rsidR="00216D10" w:rsidRPr="00D9553E">
        <w:t xml:space="preserve"> </w:t>
      </w:r>
      <w:r w:rsidR="00BE2291" w:rsidRPr="00D9553E">
        <w:t xml:space="preserve">decisore politico il quale, </w:t>
      </w:r>
      <w:r w:rsidR="00B23E85" w:rsidRPr="00D9553E">
        <w:t xml:space="preserve">nell’ipotesi in cui </w:t>
      </w:r>
      <w:r w:rsidR="008A5DB9" w:rsidRPr="00D9553E">
        <w:t xml:space="preserve">dalla “valutazione” emerga un quadro di incertezza, </w:t>
      </w:r>
      <w:r w:rsidR="00B23E85" w:rsidRPr="00D9553E">
        <w:t xml:space="preserve">potrà </w:t>
      </w:r>
      <w:r w:rsidR="00EB04EB" w:rsidRPr="00D9553E">
        <w:t>scegliere “se”</w:t>
      </w:r>
      <w:r w:rsidR="00BE2291" w:rsidRPr="00D9553E">
        <w:t xml:space="preserve"> agire</w:t>
      </w:r>
      <w:r w:rsidR="008A5DB9" w:rsidRPr="00D9553E">
        <w:t xml:space="preserve"> ed</w:t>
      </w:r>
      <w:r w:rsidR="00BE2291" w:rsidRPr="00D9553E">
        <w:t xml:space="preserve"> assumere una decisione ispirat</w:t>
      </w:r>
      <w:r w:rsidR="00EB04EB" w:rsidRPr="00D9553E">
        <w:t xml:space="preserve">a al </w:t>
      </w:r>
      <w:r w:rsidR="00630807" w:rsidRPr="00D9553E">
        <w:t>principio</w:t>
      </w:r>
      <w:r w:rsidR="00EB04EB" w:rsidRPr="00D9553E">
        <w:t xml:space="preserve"> di precauzione</w:t>
      </w:r>
      <w:r w:rsidR="00BE2291" w:rsidRPr="00D9553E">
        <w:rPr>
          <w:rStyle w:val="Rimandonotaapidipagina"/>
        </w:rPr>
        <w:footnoteReference w:id="17"/>
      </w:r>
      <w:r w:rsidR="007F03E5" w:rsidRPr="00D9553E">
        <w:t>.</w:t>
      </w:r>
      <w:r w:rsidR="008D63E9" w:rsidRPr="00D9553E">
        <w:t xml:space="preserve"> </w:t>
      </w:r>
    </w:p>
    <w:p w14:paraId="70D6A8E2" w14:textId="030F695B" w:rsidR="007F03E5" w:rsidRPr="00D9553E" w:rsidRDefault="0080475D" w:rsidP="001D4596">
      <w:pPr>
        <w:pStyle w:val="NormaleWeb"/>
        <w:spacing w:before="0" w:beforeAutospacing="0" w:after="0" w:afterAutospacing="0" w:line="360" w:lineRule="auto"/>
        <w:contextualSpacing/>
        <w:jc w:val="both"/>
      </w:pPr>
      <w:r>
        <w:lastRenderedPageBreak/>
        <w:tab/>
      </w:r>
      <w:r w:rsidR="0081242A" w:rsidRPr="00D9553E">
        <w:t>Sol</w:t>
      </w:r>
      <w:r>
        <w:t xml:space="preserve">tanto </w:t>
      </w:r>
      <w:r w:rsidR="0081242A" w:rsidRPr="00D9553E">
        <w:t>n</w:t>
      </w:r>
      <w:r>
        <w:t>el</w:t>
      </w:r>
      <w:r w:rsidR="0081242A" w:rsidRPr="00D9553E">
        <w:t xml:space="preserve"> </w:t>
      </w:r>
      <w:r w:rsidR="007F03E5" w:rsidRPr="00D9553E">
        <w:t xml:space="preserve">caso di </w:t>
      </w:r>
      <w:r w:rsidR="0081242A" w:rsidRPr="00D9553E">
        <w:t>“</w:t>
      </w:r>
      <w:r w:rsidR="007F03E5" w:rsidRPr="00D9553E">
        <w:t>rischio potenziale</w:t>
      </w:r>
      <w:r w:rsidR="0081242A" w:rsidRPr="00D9553E">
        <w:t>”</w:t>
      </w:r>
      <w:r w:rsidR="00B23E85" w:rsidRPr="00D9553E">
        <w:t>,</w:t>
      </w:r>
      <w:r w:rsidR="0081242A" w:rsidRPr="00D9553E">
        <w:t xml:space="preserve"> individuato </w:t>
      </w:r>
      <w:proofErr w:type="gramStart"/>
      <w:r w:rsidR="00630807" w:rsidRPr="00D9553E">
        <w:t>sulla base di</w:t>
      </w:r>
      <w:proofErr w:type="gramEnd"/>
      <w:r w:rsidR="00630807" w:rsidRPr="00D9553E">
        <w:t xml:space="preserve"> dati scientifici </w:t>
      </w:r>
      <w:r w:rsidR="00CE1F06">
        <w:t>-</w:t>
      </w:r>
      <w:r w:rsidR="0081242A" w:rsidRPr="00D9553E">
        <w:t>ipotesi questa che si colloca, per così dire, nel mezzo tra la</w:t>
      </w:r>
      <w:r w:rsidR="00352D78" w:rsidRPr="00D9553E">
        <w:t xml:space="preserve"> </w:t>
      </w:r>
      <w:r w:rsidR="0081242A" w:rsidRPr="00D9553E">
        <w:t>“</w:t>
      </w:r>
      <w:r w:rsidR="00352D78" w:rsidRPr="00D9553E">
        <w:t>certezza</w:t>
      </w:r>
      <w:r w:rsidR="0081242A" w:rsidRPr="00D9553E">
        <w:t>”</w:t>
      </w:r>
      <w:r w:rsidR="00352D78" w:rsidRPr="00D9553E">
        <w:t xml:space="preserve"> del pregiudizio per la salute umana e l’ambiente </w:t>
      </w:r>
      <w:r w:rsidR="0081242A" w:rsidRPr="00D9553E">
        <w:t xml:space="preserve">(a fronte della quale opera il </w:t>
      </w:r>
      <w:r w:rsidR="00630807" w:rsidRPr="00D9553E">
        <w:t>principio</w:t>
      </w:r>
      <w:r w:rsidR="0081242A" w:rsidRPr="00D9553E">
        <w:t xml:space="preserve"> di prevenzione)</w:t>
      </w:r>
      <w:r w:rsidR="007F03E5" w:rsidRPr="00D9553E">
        <w:t xml:space="preserve"> </w:t>
      </w:r>
      <w:r w:rsidR="0081242A" w:rsidRPr="00D9553E">
        <w:t>e l’assenza di qualsivoglia rischio (situazione nella quale ogni provved</w:t>
      </w:r>
      <w:r w:rsidR="00630807" w:rsidRPr="00D9553E">
        <w:t xml:space="preserve">imento </w:t>
      </w:r>
      <w:r w:rsidR="00C32591" w:rsidRPr="00D9553E">
        <w:t xml:space="preserve">restrittivo </w:t>
      </w:r>
      <w:r w:rsidR="00CE1F06">
        <w:t>risulterebbe arbitrario)-</w:t>
      </w:r>
      <w:r w:rsidR="0081242A" w:rsidRPr="00D9553E">
        <w:t xml:space="preserve"> può trovare applicazione il </w:t>
      </w:r>
      <w:r w:rsidR="00630807" w:rsidRPr="00D9553E">
        <w:t>principio</w:t>
      </w:r>
      <w:r w:rsidR="0081242A" w:rsidRPr="00D9553E">
        <w:t xml:space="preserve"> di precauzione.</w:t>
      </w:r>
    </w:p>
    <w:p w14:paraId="7619DA2A" w14:textId="4B10293A" w:rsidR="00216D10" w:rsidRPr="00D9553E" w:rsidRDefault="001D4596" w:rsidP="00E9248E">
      <w:pPr>
        <w:pStyle w:val="NormaleWeb"/>
        <w:spacing w:after="0" w:afterAutospacing="0" w:line="360" w:lineRule="auto"/>
        <w:contextualSpacing/>
        <w:jc w:val="both"/>
      </w:pPr>
      <w:r>
        <w:tab/>
      </w:r>
      <w:r w:rsidR="007F03E5" w:rsidRPr="00D9553E">
        <w:t xml:space="preserve">Presupposti per l’applicazione del </w:t>
      </w:r>
      <w:r w:rsidR="00630807" w:rsidRPr="00D9553E">
        <w:t>principio</w:t>
      </w:r>
      <w:r w:rsidR="007F03E5" w:rsidRPr="00D9553E">
        <w:t xml:space="preserve"> sono: </w:t>
      </w:r>
      <w:r w:rsidR="008221AA">
        <w:t xml:space="preserve">previsione di effetti </w:t>
      </w:r>
      <w:r w:rsidR="007F03E5" w:rsidRPr="00D9553E">
        <w:t>identifica</w:t>
      </w:r>
      <w:r w:rsidR="008221AA">
        <w:t>ti come</w:t>
      </w:r>
      <w:r w:rsidR="007F03E5" w:rsidRPr="00D9553E">
        <w:t xml:space="preserve"> potenzialmente negativi</w:t>
      </w:r>
      <w:proofErr w:type="gramStart"/>
      <w:r w:rsidR="007F03E5" w:rsidRPr="00D9553E">
        <w:rPr>
          <w:rStyle w:val="Rimandonotaapidipagina"/>
        </w:rPr>
        <w:footnoteReference w:id="18"/>
      </w:r>
      <w:r w:rsidR="007F03E5" w:rsidRPr="00D9553E">
        <w:t>;</w:t>
      </w:r>
      <w:proofErr w:type="gramEnd"/>
      <w:r w:rsidR="007F03E5" w:rsidRPr="00D9553E">
        <w:t xml:space="preserve"> la valutazione scientifica di </w:t>
      </w:r>
      <w:r w:rsidR="0071431D" w:rsidRPr="00D9553E">
        <w:t xml:space="preserve">tali effetti </w:t>
      </w:r>
      <w:r w:rsidR="007F03E5" w:rsidRPr="00D9553E">
        <w:rPr>
          <w:rStyle w:val="Rimandonotaapidipagina"/>
        </w:rPr>
        <w:footnoteReference w:id="19"/>
      </w:r>
      <w:r w:rsidR="007F03E5" w:rsidRPr="00D9553E">
        <w:t xml:space="preserve">; </w:t>
      </w:r>
      <w:r w:rsidR="0071431D" w:rsidRPr="00D9553E">
        <w:t xml:space="preserve">un quadro di </w:t>
      </w:r>
      <w:r w:rsidR="00F3516E" w:rsidRPr="00D9553E">
        <w:t xml:space="preserve">oggettiva </w:t>
      </w:r>
      <w:r w:rsidR="0071431D" w:rsidRPr="00D9553E">
        <w:t xml:space="preserve">incertezza </w:t>
      </w:r>
      <w:r w:rsidR="00F3516E" w:rsidRPr="00D9553E">
        <w:t xml:space="preserve">sul piano tecnico </w:t>
      </w:r>
      <w:r w:rsidR="0071431D" w:rsidRPr="00D9553E">
        <w:t>in ordine alla valutazione degli effetti pregiudizievoli</w:t>
      </w:r>
      <w:r w:rsidR="0071431D" w:rsidRPr="00D9553E">
        <w:rPr>
          <w:rStyle w:val="Rimandonotaapidipagina"/>
        </w:rPr>
        <w:footnoteReference w:id="20"/>
      </w:r>
      <w:r w:rsidR="0071431D" w:rsidRPr="00D9553E">
        <w:t>.</w:t>
      </w:r>
      <w:r w:rsidR="007F03E5" w:rsidRPr="00D9553E">
        <w:t xml:space="preserve"> </w:t>
      </w:r>
    </w:p>
    <w:p w14:paraId="58D36508" w14:textId="30D35E34" w:rsidR="00216D10" w:rsidRPr="00D9553E" w:rsidRDefault="00CE260E" w:rsidP="00E9248E">
      <w:pPr>
        <w:pStyle w:val="NormaleWeb"/>
        <w:spacing w:after="0" w:afterAutospacing="0" w:line="360" w:lineRule="auto"/>
        <w:contextualSpacing/>
        <w:jc w:val="both"/>
      </w:pPr>
      <w:r>
        <w:tab/>
      </w:r>
      <w:r w:rsidR="00B21DCE" w:rsidRPr="00D9553E">
        <w:t xml:space="preserve">Solo </w:t>
      </w:r>
      <w:r w:rsidR="004B00B3" w:rsidRPr="00D9553E">
        <w:t>“</w:t>
      </w:r>
      <w:r w:rsidR="00AF2A47" w:rsidRPr="00D9553E">
        <w:rPr>
          <w:i/>
        </w:rPr>
        <w:t>una volta realizzata la valutazion</w:t>
      </w:r>
      <w:r w:rsidR="00503D4A" w:rsidRPr="00D9553E">
        <w:rPr>
          <w:i/>
        </w:rPr>
        <w:t>e scientifica nel modo migliore</w:t>
      </w:r>
      <w:r w:rsidR="00AF2A47" w:rsidRPr="00D9553E">
        <w:rPr>
          <w:i/>
        </w:rPr>
        <w:t xml:space="preserve">, è possibile </w:t>
      </w:r>
      <w:proofErr w:type="gramStart"/>
      <w:r w:rsidR="00AF2A47" w:rsidRPr="00D9553E">
        <w:rPr>
          <w:i/>
        </w:rPr>
        <w:t>d</w:t>
      </w:r>
      <w:r w:rsidR="00630807" w:rsidRPr="00D9553E">
        <w:rPr>
          <w:i/>
        </w:rPr>
        <w:t>isporre di</w:t>
      </w:r>
      <w:proofErr w:type="gramEnd"/>
      <w:r w:rsidR="00630807" w:rsidRPr="00D9553E">
        <w:rPr>
          <w:i/>
        </w:rPr>
        <w:t xml:space="preserve"> una base per invocare l’applicazione</w:t>
      </w:r>
      <w:r w:rsidR="004B00B3" w:rsidRPr="00D9553E">
        <w:t>”</w:t>
      </w:r>
      <w:r w:rsidR="00630807" w:rsidRPr="00D9553E">
        <w:t xml:space="preserve"> del principio</w:t>
      </w:r>
      <w:r w:rsidR="005A2366" w:rsidRPr="00D9553E">
        <w:t xml:space="preserve"> </w:t>
      </w:r>
      <w:r w:rsidR="004B00B3" w:rsidRPr="00D9553E">
        <w:t>di precauzione</w:t>
      </w:r>
      <w:r w:rsidR="00EB04EB" w:rsidRPr="00D9553E">
        <w:rPr>
          <w:rStyle w:val="Rimandonotaapidipagina"/>
        </w:rPr>
        <w:footnoteReference w:id="21"/>
      </w:r>
      <w:r w:rsidR="00AF2A47" w:rsidRPr="00D9553E">
        <w:t>.</w:t>
      </w:r>
    </w:p>
    <w:p w14:paraId="40D7D3C6" w14:textId="37D1BAD8" w:rsidR="00AF2A47" w:rsidRPr="00D9553E" w:rsidRDefault="00CE260E" w:rsidP="00E9248E">
      <w:pPr>
        <w:pStyle w:val="NormaleWeb"/>
        <w:spacing w:after="0" w:afterAutospacing="0" w:line="360" w:lineRule="auto"/>
        <w:contextualSpacing/>
        <w:jc w:val="both"/>
      </w:pPr>
      <w:r>
        <w:tab/>
      </w:r>
      <w:r w:rsidR="00347086" w:rsidRPr="00D9553E">
        <w:t>L</w:t>
      </w:r>
      <w:r w:rsidR="005A2366" w:rsidRPr="00D9553E">
        <w:t xml:space="preserve">a sua </w:t>
      </w:r>
      <w:r w:rsidR="00347086" w:rsidRPr="00D9553E">
        <w:t>applicazione non può comunqu</w:t>
      </w:r>
      <w:r w:rsidR="0008649B" w:rsidRPr="00D9553E">
        <w:t>e comportare la violazione dei «</w:t>
      </w:r>
      <w:r w:rsidR="00630807" w:rsidRPr="00D9553E">
        <w:rPr>
          <w:i/>
        </w:rPr>
        <w:t>princìpi</w:t>
      </w:r>
      <w:r w:rsidR="00AF2A47" w:rsidRPr="00D9553E">
        <w:rPr>
          <w:i/>
        </w:rPr>
        <w:t xml:space="preserve"> generali </w:t>
      </w:r>
      <w:r w:rsidR="00347086" w:rsidRPr="00D9553E">
        <w:rPr>
          <w:i/>
        </w:rPr>
        <w:t xml:space="preserve">di una buona gestione dei </w:t>
      </w:r>
      <w:proofErr w:type="gramStart"/>
      <w:r w:rsidR="00347086" w:rsidRPr="00D9553E">
        <w:rPr>
          <w:i/>
        </w:rPr>
        <w:t>rischi</w:t>
      </w:r>
      <w:r w:rsidR="0008649B" w:rsidRPr="00D9553E">
        <w:t>»</w:t>
      </w:r>
      <w:proofErr w:type="gramEnd"/>
      <w:r w:rsidR="0008649B" w:rsidRPr="00D9553E">
        <w:rPr>
          <w:rStyle w:val="Rimandonotaapidipagina"/>
        </w:rPr>
        <w:footnoteReference w:id="22"/>
      </w:r>
      <w:proofErr w:type="gramStart"/>
      <w:r w:rsidR="0008649B" w:rsidRPr="00D9553E">
        <w:t xml:space="preserve">, </w:t>
      </w:r>
      <w:proofErr w:type="gramEnd"/>
      <w:r w:rsidR="00347086" w:rsidRPr="00D9553E">
        <w:t>quali</w:t>
      </w:r>
      <w:r w:rsidR="00AA0C17" w:rsidRPr="00D9553E">
        <w:t xml:space="preserve"> la</w:t>
      </w:r>
      <w:r w:rsidR="00347086" w:rsidRPr="00D9553E">
        <w:t xml:space="preserve"> </w:t>
      </w:r>
      <w:r w:rsidR="00AF2A47" w:rsidRPr="00D9553E">
        <w:t>proporzionalità</w:t>
      </w:r>
      <w:r w:rsidR="00EF1E0C" w:rsidRPr="00D9553E">
        <w:rPr>
          <w:rStyle w:val="Rimandonotaapidipagina"/>
        </w:rPr>
        <w:footnoteReference w:id="23"/>
      </w:r>
      <w:r w:rsidR="00AF2A47" w:rsidRPr="00D9553E">
        <w:t>,</w:t>
      </w:r>
      <w:r w:rsidR="00347086" w:rsidRPr="00D9553E">
        <w:t xml:space="preserve"> </w:t>
      </w:r>
      <w:r w:rsidR="00AA0C17" w:rsidRPr="00D9553E">
        <w:t xml:space="preserve">la </w:t>
      </w:r>
      <w:r w:rsidR="00347086" w:rsidRPr="00D9553E">
        <w:t xml:space="preserve">non </w:t>
      </w:r>
      <w:r w:rsidR="00347086" w:rsidRPr="00D9553E">
        <w:lastRenderedPageBreak/>
        <w:t xml:space="preserve">discriminazione, </w:t>
      </w:r>
      <w:r w:rsidR="00AF2A47" w:rsidRPr="00D9553E">
        <w:t>la coerenza</w:t>
      </w:r>
      <w:r w:rsidR="00347086" w:rsidRPr="00D9553E">
        <w:t xml:space="preserve"> (delle misure adottate rispetto a quelle </w:t>
      </w:r>
      <w:r w:rsidR="004A3D9F" w:rsidRPr="00D9553E">
        <w:t xml:space="preserve">applicate </w:t>
      </w:r>
      <w:r w:rsidR="00347086" w:rsidRPr="00D9553E">
        <w:t xml:space="preserve">in situazioni analoghe), </w:t>
      </w:r>
      <w:r w:rsidR="00AF2A47" w:rsidRPr="00D9553E">
        <w:t>l'esame dei vantaggi e degli oneri derivanti dall'azione o dalla</w:t>
      </w:r>
      <w:r w:rsidR="004A3D9F" w:rsidRPr="00D9553E">
        <w:t xml:space="preserve"> sua</w:t>
      </w:r>
      <w:r w:rsidR="00AF2A47" w:rsidRPr="00D9553E">
        <w:t xml:space="preserve"> mancanza,</w:t>
      </w:r>
      <w:r w:rsidR="00347086" w:rsidRPr="00D9553E">
        <w:t xml:space="preserve"> </w:t>
      </w:r>
      <w:r w:rsidR="00AF2A47" w:rsidRPr="00D9553E">
        <w:t>l'esame dell'evoluzione scientifica.</w:t>
      </w:r>
    </w:p>
    <w:p w14:paraId="32E4340A" w14:textId="77777777" w:rsidR="0099163C" w:rsidRPr="00D9553E" w:rsidRDefault="0099163C" w:rsidP="00E9248E">
      <w:pPr>
        <w:spacing w:after="0" w:line="360" w:lineRule="auto"/>
        <w:contextualSpacing/>
        <w:jc w:val="both"/>
        <w:rPr>
          <w:rFonts w:ascii="Times New Roman" w:hAnsi="Times New Roman" w:cs="Times New Roman"/>
          <w:sz w:val="24"/>
          <w:szCs w:val="24"/>
        </w:rPr>
      </w:pPr>
    </w:p>
    <w:p w14:paraId="77AD26B1" w14:textId="03F9D507" w:rsidR="004E4110" w:rsidRDefault="00B82196" w:rsidP="00E9248E">
      <w:pPr>
        <w:spacing w:after="0" w:line="360" w:lineRule="auto"/>
        <w:contextualSpacing/>
        <w:jc w:val="both"/>
        <w:rPr>
          <w:rFonts w:ascii="Times New Roman" w:hAnsi="Times New Roman" w:cs="Times New Roman"/>
          <w:i/>
          <w:sz w:val="24"/>
          <w:szCs w:val="24"/>
        </w:rPr>
      </w:pPr>
      <w:r w:rsidRPr="00D9553E">
        <w:rPr>
          <w:rFonts w:ascii="Times New Roman" w:hAnsi="Times New Roman" w:cs="Times New Roman"/>
          <w:i/>
          <w:sz w:val="24"/>
          <w:szCs w:val="24"/>
        </w:rPr>
        <w:t xml:space="preserve">3. </w:t>
      </w:r>
      <w:r w:rsidR="00CE260E">
        <w:rPr>
          <w:rFonts w:ascii="Times New Roman" w:hAnsi="Times New Roman" w:cs="Times New Roman"/>
          <w:i/>
          <w:sz w:val="24"/>
          <w:szCs w:val="24"/>
        </w:rPr>
        <w:tab/>
      </w:r>
      <w:r w:rsidR="004E4110" w:rsidRPr="00D9553E">
        <w:rPr>
          <w:rFonts w:ascii="Times New Roman" w:hAnsi="Times New Roman" w:cs="Times New Roman"/>
          <w:i/>
          <w:sz w:val="24"/>
          <w:szCs w:val="24"/>
        </w:rPr>
        <w:t xml:space="preserve">Il </w:t>
      </w:r>
      <w:r w:rsidR="00630807" w:rsidRPr="00D9553E">
        <w:rPr>
          <w:rFonts w:ascii="Times New Roman" w:hAnsi="Times New Roman" w:cs="Times New Roman"/>
          <w:i/>
          <w:sz w:val="24"/>
          <w:szCs w:val="24"/>
        </w:rPr>
        <w:t>principio</w:t>
      </w:r>
      <w:r w:rsidR="004E4110" w:rsidRPr="00D9553E">
        <w:rPr>
          <w:rFonts w:ascii="Times New Roman" w:hAnsi="Times New Roman" w:cs="Times New Roman"/>
          <w:i/>
          <w:sz w:val="24"/>
          <w:szCs w:val="24"/>
        </w:rPr>
        <w:t xml:space="preserve"> di precauzione nell’ordinamento nazionale</w:t>
      </w:r>
      <w:r w:rsidR="006122B2" w:rsidRPr="00D9553E">
        <w:rPr>
          <w:rFonts w:ascii="Times New Roman" w:hAnsi="Times New Roman" w:cs="Times New Roman"/>
          <w:i/>
          <w:sz w:val="24"/>
          <w:szCs w:val="24"/>
        </w:rPr>
        <w:t>. Profili applicativi</w:t>
      </w:r>
      <w:r w:rsidR="00FF6EF5" w:rsidRPr="00D9553E">
        <w:rPr>
          <w:rFonts w:ascii="Times New Roman" w:hAnsi="Times New Roman" w:cs="Times New Roman"/>
          <w:i/>
          <w:sz w:val="24"/>
          <w:szCs w:val="24"/>
        </w:rPr>
        <w:t>.</w:t>
      </w:r>
    </w:p>
    <w:p w14:paraId="226E17E1" w14:textId="77777777" w:rsidR="00CE260E" w:rsidRPr="00D9553E" w:rsidRDefault="00CE260E" w:rsidP="00E9248E">
      <w:pPr>
        <w:spacing w:after="0" w:line="360" w:lineRule="auto"/>
        <w:contextualSpacing/>
        <w:jc w:val="both"/>
        <w:rPr>
          <w:rFonts w:ascii="Times New Roman" w:hAnsi="Times New Roman" w:cs="Times New Roman"/>
          <w:i/>
          <w:sz w:val="24"/>
          <w:szCs w:val="24"/>
        </w:rPr>
      </w:pPr>
    </w:p>
    <w:p w14:paraId="48B243F2" w14:textId="16619039" w:rsidR="000F45BE" w:rsidRPr="00D9553E" w:rsidRDefault="0080026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007B2656" w:rsidRPr="00D9553E">
        <w:rPr>
          <w:rFonts w:ascii="Times New Roman" w:hAnsi="Times New Roman" w:cs="Times New Roman"/>
          <w:sz w:val="24"/>
          <w:szCs w:val="24"/>
        </w:rPr>
        <w:t>In quanto</w:t>
      </w:r>
      <w:proofErr w:type="gramEnd"/>
      <w:r w:rsidR="007B2656" w:rsidRPr="00D9553E">
        <w:rPr>
          <w:rFonts w:ascii="Times New Roman" w:hAnsi="Times New Roman" w:cs="Times New Roman"/>
          <w:sz w:val="24"/>
          <w:szCs w:val="24"/>
        </w:rPr>
        <w:t xml:space="preserve"> principio generale del diritto comunitario, i</w:t>
      </w:r>
      <w:r w:rsidR="00B17600" w:rsidRPr="00D9553E">
        <w:rPr>
          <w:rFonts w:ascii="Times New Roman" w:hAnsi="Times New Roman" w:cs="Times New Roman"/>
          <w:sz w:val="24"/>
          <w:szCs w:val="24"/>
        </w:rPr>
        <w:t xml:space="preserve">l </w:t>
      </w:r>
      <w:r w:rsidR="00630807" w:rsidRPr="00D9553E">
        <w:rPr>
          <w:rFonts w:ascii="Times New Roman" w:hAnsi="Times New Roman" w:cs="Times New Roman"/>
          <w:sz w:val="24"/>
          <w:szCs w:val="24"/>
        </w:rPr>
        <w:t>principio</w:t>
      </w:r>
      <w:r w:rsidR="00B17600" w:rsidRPr="00D9553E">
        <w:rPr>
          <w:rFonts w:ascii="Times New Roman" w:hAnsi="Times New Roman" w:cs="Times New Roman"/>
          <w:sz w:val="24"/>
          <w:szCs w:val="24"/>
        </w:rPr>
        <w:t xml:space="preserve"> di precauzione, </w:t>
      </w:r>
      <w:r w:rsidR="000F45BE" w:rsidRPr="00D9553E">
        <w:rPr>
          <w:rFonts w:ascii="Times New Roman" w:hAnsi="Times New Roman" w:cs="Times New Roman"/>
          <w:sz w:val="24"/>
          <w:szCs w:val="24"/>
        </w:rPr>
        <w:t>trova applicazione diretta nell’ordinamento nazionale innanzitutto in virtù dei noti meccanismi di integrazione del diritto interno con quello comunitario</w:t>
      </w:r>
      <w:r w:rsidR="007B2656" w:rsidRPr="00D9553E">
        <w:rPr>
          <w:rFonts w:ascii="Times New Roman" w:hAnsi="Times New Roman" w:cs="Times New Roman"/>
          <w:sz w:val="24"/>
          <w:szCs w:val="24"/>
        </w:rPr>
        <w:t>;</w:t>
      </w:r>
      <w:r w:rsidR="000F45BE" w:rsidRPr="00D9553E">
        <w:rPr>
          <w:rFonts w:ascii="Times New Roman" w:hAnsi="Times New Roman" w:cs="Times New Roman"/>
          <w:sz w:val="24"/>
          <w:szCs w:val="24"/>
        </w:rPr>
        <w:t xml:space="preserve"> in secondo luogo</w:t>
      </w:r>
      <w:r w:rsidR="007B2656" w:rsidRPr="00D9553E">
        <w:rPr>
          <w:rFonts w:ascii="Times New Roman" w:hAnsi="Times New Roman" w:cs="Times New Roman"/>
          <w:sz w:val="24"/>
          <w:szCs w:val="24"/>
        </w:rPr>
        <w:t>,</w:t>
      </w:r>
      <w:r w:rsidR="000F45BE" w:rsidRPr="00D9553E">
        <w:rPr>
          <w:rFonts w:ascii="Times New Roman" w:hAnsi="Times New Roman" w:cs="Times New Roman"/>
          <w:sz w:val="24"/>
          <w:szCs w:val="24"/>
        </w:rPr>
        <w:t xml:space="preserve"> in</w:t>
      </w:r>
      <w:r w:rsidR="00AD2FFC" w:rsidRPr="00D9553E">
        <w:rPr>
          <w:rFonts w:ascii="Times New Roman" w:hAnsi="Times New Roman" w:cs="Times New Roman"/>
          <w:sz w:val="24"/>
          <w:szCs w:val="24"/>
        </w:rPr>
        <w:t xml:space="preserve"> forza dell’art. 1</w:t>
      </w:r>
      <w:r w:rsidR="007B2656" w:rsidRPr="00D9553E">
        <w:rPr>
          <w:rFonts w:ascii="Times New Roman" w:hAnsi="Times New Roman" w:cs="Times New Roman"/>
          <w:sz w:val="24"/>
          <w:szCs w:val="24"/>
        </w:rPr>
        <w:t>,</w:t>
      </w:r>
      <w:r w:rsidR="00AD2FFC" w:rsidRPr="00D9553E">
        <w:rPr>
          <w:rFonts w:ascii="Times New Roman" w:hAnsi="Times New Roman" w:cs="Times New Roman"/>
          <w:sz w:val="24"/>
          <w:szCs w:val="24"/>
        </w:rPr>
        <w:t xml:space="preserve"> l. 241/1990</w:t>
      </w:r>
      <w:r w:rsidR="007B2656" w:rsidRPr="00D9553E">
        <w:rPr>
          <w:rFonts w:ascii="Times New Roman" w:hAnsi="Times New Roman" w:cs="Times New Roman"/>
          <w:sz w:val="24"/>
          <w:szCs w:val="24"/>
        </w:rPr>
        <w:t xml:space="preserve"> </w:t>
      </w:r>
      <w:proofErr w:type="spellStart"/>
      <w:proofErr w:type="gramStart"/>
      <w:r w:rsidR="007B2656" w:rsidRPr="00D9553E">
        <w:rPr>
          <w:rFonts w:ascii="Times New Roman" w:hAnsi="Times New Roman" w:cs="Times New Roman"/>
          <w:sz w:val="24"/>
          <w:szCs w:val="24"/>
        </w:rPr>
        <w:t>s.m.i</w:t>
      </w:r>
      <w:proofErr w:type="gramEnd"/>
      <w:r w:rsidR="00AD2FFC" w:rsidRPr="00D9553E">
        <w:rPr>
          <w:rFonts w:ascii="Times New Roman" w:hAnsi="Times New Roman" w:cs="Times New Roman"/>
          <w:sz w:val="24"/>
          <w:szCs w:val="24"/>
        </w:rPr>
        <w:t>.</w:t>
      </w:r>
      <w:proofErr w:type="spellEnd"/>
    </w:p>
    <w:p w14:paraId="79E56743" w14:textId="37E68A71" w:rsidR="00B17600" w:rsidRPr="00D9553E" w:rsidRDefault="0080026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71755" w:rsidRPr="00D9553E">
        <w:rPr>
          <w:rFonts w:ascii="Times New Roman" w:hAnsi="Times New Roman" w:cs="Times New Roman"/>
          <w:sz w:val="24"/>
          <w:szCs w:val="24"/>
        </w:rPr>
        <w:t xml:space="preserve">Espressamente richiamato </w:t>
      </w:r>
      <w:r w:rsidR="000F45BE" w:rsidRPr="00D9553E">
        <w:rPr>
          <w:rFonts w:ascii="Times New Roman" w:hAnsi="Times New Roman" w:cs="Times New Roman"/>
          <w:sz w:val="24"/>
          <w:szCs w:val="24"/>
        </w:rPr>
        <w:t xml:space="preserve">nell’ordinamento italiano </w:t>
      </w:r>
      <w:proofErr w:type="gramStart"/>
      <w:r w:rsidR="000F45BE" w:rsidRPr="00D9553E">
        <w:rPr>
          <w:rFonts w:ascii="Times New Roman" w:hAnsi="Times New Roman" w:cs="Times New Roman"/>
          <w:sz w:val="24"/>
          <w:szCs w:val="24"/>
        </w:rPr>
        <w:t>a partire dal</w:t>
      </w:r>
      <w:proofErr w:type="gramEnd"/>
      <w:r w:rsidR="000F45BE" w:rsidRPr="00D9553E">
        <w:rPr>
          <w:rFonts w:ascii="Times New Roman" w:hAnsi="Times New Roman" w:cs="Times New Roman"/>
          <w:sz w:val="24"/>
          <w:szCs w:val="24"/>
        </w:rPr>
        <w:t xml:space="preserve"> 1999</w:t>
      </w:r>
      <w:r w:rsidR="00C71755" w:rsidRPr="00D9553E">
        <w:rPr>
          <w:rFonts w:ascii="Times New Roman" w:hAnsi="Times New Roman" w:cs="Times New Roman"/>
          <w:sz w:val="24"/>
          <w:szCs w:val="24"/>
        </w:rPr>
        <w:t>, esso è codificato nell’</w:t>
      </w:r>
      <w:r w:rsidR="000F45BE" w:rsidRPr="00D9553E">
        <w:rPr>
          <w:rFonts w:ascii="Times New Roman" w:hAnsi="Times New Roman" w:cs="Times New Roman"/>
          <w:sz w:val="24"/>
          <w:szCs w:val="24"/>
        </w:rPr>
        <w:t xml:space="preserve">art. 301 d.lgs. 152/2006 (codice dell’ambiente), </w:t>
      </w:r>
      <w:r w:rsidR="00B17600" w:rsidRPr="00D9553E">
        <w:rPr>
          <w:rFonts w:ascii="Times New Roman" w:hAnsi="Times New Roman" w:cs="Times New Roman"/>
          <w:sz w:val="24"/>
          <w:szCs w:val="24"/>
        </w:rPr>
        <w:t>che attribuisce al Ministro dell’ambiente</w:t>
      </w:r>
      <w:r w:rsidR="005D7D85" w:rsidRPr="00D9553E">
        <w:rPr>
          <w:rFonts w:ascii="Times New Roman" w:hAnsi="Times New Roman" w:cs="Times New Roman"/>
          <w:sz w:val="24"/>
          <w:szCs w:val="24"/>
        </w:rPr>
        <w:t>,</w:t>
      </w:r>
      <w:r w:rsidR="00B17600" w:rsidRPr="00D9553E">
        <w:rPr>
          <w:rFonts w:ascii="Times New Roman" w:hAnsi="Times New Roman" w:cs="Times New Roman"/>
          <w:sz w:val="24"/>
          <w:szCs w:val="24"/>
        </w:rPr>
        <w:t xml:space="preserve"> </w:t>
      </w:r>
      <w:proofErr w:type="gramStart"/>
      <w:r w:rsidR="00B17600" w:rsidRPr="00D9553E">
        <w:rPr>
          <w:rFonts w:ascii="Times New Roman" w:hAnsi="Times New Roman" w:cs="Times New Roman"/>
          <w:sz w:val="24"/>
          <w:szCs w:val="24"/>
        </w:rPr>
        <w:t>in presenza</w:t>
      </w:r>
      <w:proofErr w:type="gramEnd"/>
      <w:r w:rsidR="00B17600" w:rsidRPr="00D9553E">
        <w:rPr>
          <w:rFonts w:ascii="Times New Roman" w:hAnsi="Times New Roman" w:cs="Times New Roman"/>
          <w:sz w:val="24"/>
          <w:szCs w:val="24"/>
        </w:rPr>
        <w:t xml:space="preserve"> di pericoli anche solo potenziali per la salute umana e per l’ambiente, individuati a seguito di una “preliminare valutazione scientifica obiettiva”</w:t>
      </w:r>
      <w:r w:rsidR="00B17600" w:rsidRPr="00D9553E">
        <w:rPr>
          <w:rFonts w:ascii="Times New Roman" w:hAnsi="Times New Roman" w:cs="Times New Roman"/>
          <w:i/>
          <w:sz w:val="24"/>
          <w:szCs w:val="24"/>
        </w:rPr>
        <w:t xml:space="preserve">, </w:t>
      </w:r>
      <w:r w:rsidR="00B17600" w:rsidRPr="00D9553E">
        <w:rPr>
          <w:rFonts w:ascii="Times New Roman" w:hAnsi="Times New Roman" w:cs="Times New Roman"/>
          <w:sz w:val="24"/>
          <w:szCs w:val="24"/>
        </w:rPr>
        <w:t xml:space="preserve">il potere di adottare misure fondate sul </w:t>
      </w:r>
      <w:r w:rsidR="00630807" w:rsidRPr="00D9553E">
        <w:rPr>
          <w:rFonts w:ascii="Times New Roman" w:hAnsi="Times New Roman" w:cs="Times New Roman"/>
          <w:sz w:val="24"/>
          <w:szCs w:val="24"/>
        </w:rPr>
        <w:t>principio</w:t>
      </w:r>
      <w:r w:rsidR="00B17600" w:rsidRPr="00D9553E">
        <w:rPr>
          <w:rFonts w:ascii="Times New Roman" w:hAnsi="Times New Roman" w:cs="Times New Roman"/>
          <w:sz w:val="24"/>
          <w:szCs w:val="24"/>
        </w:rPr>
        <w:t xml:space="preserve"> di precauzione a condizione che comunque siano rispettati i </w:t>
      </w:r>
      <w:r w:rsidR="00630807" w:rsidRPr="00D9553E">
        <w:rPr>
          <w:rFonts w:ascii="Times New Roman" w:hAnsi="Times New Roman" w:cs="Times New Roman"/>
          <w:sz w:val="24"/>
          <w:szCs w:val="24"/>
        </w:rPr>
        <w:t>princìpi</w:t>
      </w:r>
      <w:r w:rsidR="00B17600" w:rsidRPr="00D9553E">
        <w:rPr>
          <w:rFonts w:ascii="Times New Roman" w:hAnsi="Times New Roman" w:cs="Times New Roman"/>
          <w:sz w:val="24"/>
          <w:szCs w:val="24"/>
        </w:rPr>
        <w:t xml:space="preserve"> di proporzionalità, non discriminazione, e che esse siano basate su un’analisi costi/benefici, aggiornabili alla luce delle nuove conoscenze scientifiche</w:t>
      </w:r>
      <w:r w:rsidR="003207EB" w:rsidRPr="00D9553E">
        <w:rPr>
          <w:rStyle w:val="Rimandonotaapidipagina"/>
          <w:rFonts w:ascii="Times New Roman" w:hAnsi="Times New Roman" w:cs="Times New Roman"/>
          <w:sz w:val="24"/>
          <w:szCs w:val="24"/>
        </w:rPr>
        <w:footnoteReference w:id="24"/>
      </w:r>
      <w:r w:rsidR="00B17600" w:rsidRPr="00D9553E">
        <w:rPr>
          <w:rFonts w:ascii="Times New Roman" w:hAnsi="Times New Roman" w:cs="Times New Roman"/>
          <w:sz w:val="24"/>
          <w:szCs w:val="24"/>
        </w:rPr>
        <w:t>.</w:t>
      </w:r>
    </w:p>
    <w:p w14:paraId="70B77910" w14:textId="2259D038" w:rsidR="00986C27" w:rsidRPr="00D9553E" w:rsidRDefault="0080026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222B0" w:rsidRPr="00D9553E">
        <w:rPr>
          <w:rFonts w:ascii="Times New Roman" w:hAnsi="Times New Roman" w:cs="Times New Roman"/>
          <w:sz w:val="24"/>
          <w:szCs w:val="24"/>
        </w:rPr>
        <w:t>Ma è</w:t>
      </w:r>
      <w:r w:rsidR="003207EB" w:rsidRPr="00D9553E">
        <w:rPr>
          <w:rFonts w:ascii="Times New Roman" w:hAnsi="Times New Roman" w:cs="Times New Roman"/>
          <w:sz w:val="24"/>
          <w:szCs w:val="24"/>
        </w:rPr>
        <w:t xml:space="preserve"> soprattutto la giurisprudenza amministrativa che</w:t>
      </w:r>
      <w:r w:rsidR="00E222B0" w:rsidRPr="00D9553E">
        <w:rPr>
          <w:rFonts w:ascii="Times New Roman" w:hAnsi="Times New Roman" w:cs="Times New Roman"/>
          <w:sz w:val="24"/>
          <w:szCs w:val="24"/>
        </w:rPr>
        <w:t xml:space="preserve"> ha concorso a </w:t>
      </w:r>
      <w:proofErr w:type="gramStart"/>
      <w:r w:rsidR="00E222B0" w:rsidRPr="00D9553E">
        <w:rPr>
          <w:rFonts w:ascii="Times New Roman" w:hAnsi="Times New Roman" w:cs="Times New Roman"/>
          <w:sz w:val="24"/>
          <w:szCs w:val="24"/>
        </w:rPr>
        <w:t>delineare</w:t>
      </w:r>
      <w:proofErr w:type="gramEnd"/>
      <w:r w:rsidR="003207EB" w:rsidRPr="00D9553E">
        <w:rPr>
          <w:rFonts w:ascii="Times New Roman" w:hAnsi="Times New Roman" w:cs="Times New Roman"/>
          <w:sz w:val="24"/>
          <w:szCs w:val="24"/>
        </w:rPr>
        <w:t xml:space="preserve"> nei suoi tratti essenziali</w:t>
      </w:r>
      <w:r w:rsidR="00E222B0" w:rsidRPr="00D9553E">
        <w:rPr>
          <w:rFonts w:ascii="Times New Roman" w:hAnsi="Times New Roman" w:cs="Times New Roman"/>
          <w:sz w:val="24"/>
          <w:szCs w:val="24"/>
        </w:rPr>
        <w:t xml:space="preserve"> i contenuti della cautela di matrice comunitaria</w:t>
      </w:r>
      <w:r w:rsidR="00AD2FFC" w:rsidRPr="00D9553E">
        <w:rPr>
          <w:rFonts w:ascii="Times New Roman" w:hAnsi="Times New Roman" w:cs="Times New Roman"/>
          <w:sz w:val="24"/>
          <w:szCs w:val="24"/>
        </w:rPr>
        <w:t>.</w:t>
      </w:r>
      <w:r w:rsidR="003207EB" w:rsidRPr="00D9553E">
        <w:rPr>
          <w:rFonts w:ascii="Times New Roman" w:hAnsi="Times New Roman" w:cs="Times New Roman"/>
          <w:sz w:val="24"/>
          <w:szCs w:val="24"/>
        </w:rPr>
        <w:t xml:space="preserve"> </w:t>
      </w:r>
    </w:p>
    <w:p w14:paraId="49AC413D" w14:textId="51BB4D52" w:rsidR="007E1F68" w:rsidRPr="00D9553E" w:rsidRDefault="0080026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9C0925" w:rsidRPr="00D9553E">
        <w:rPr>
          <w:rFonts w:ascii="Times New Roman" w:hAnsi="Times New Roman" w:cs="Times New Roman"/>
          <w:sz w:val="24"/>
          <w:szCs w:val="24"/>
        </w:rPr>
        <w:t xml:space="preserve">Infatti, </w:t>
      </w:r>
      <w:r w:rsidR="00AB0E94">
        <w:rPr>
          <w:rFonts w:ascii="Times New Roman" w:hAnsi="Times New Roman" w:cs="Times New Roman"/>
          <w:sz w:val="24"/>
          <w:szCs w:val="24"/>
        </w:rPr>
        <w:t xml:space="preserve">la </w:t>
      </w:r>
      <w:r w:rsidR="00230581" w:rsidRPr="00D9553E">
        <w:rPr>
          <w:rFonts w:ascii="Times New Roman" w:hAnsi="Times New Roman" w:cs="Times New Roman"/>
          <w:sz w:val="24"/>
          <w:szCs w:val="24"/>
        </w:rPr>
        <w:t>giurisprudenza nazionale</w:t>
      </w:r>
      <w:r w:rsidR="003F4250">
        <w:rPr>
          <w:rFonts w:ascii="Times New Roman" w:hAnsi="Times New Roman" w:cs="Times New Roman"/>
          <w:sz w:val="24"/>
          <w:szCs w:val="24"/>
        </w:rPr>
        <w:t xml:space="preserve"> -</w:t>
      </w:r>
      <w:r w:rsidR="00AB0E94">
        <w:rPr>
          <w:rFonts w:ascii="Times New Roman" w:hAnsi="Times New Roman" w:cs="Times New Roman"/>
          <w:sz w:val="24"/>
          <w:szCs w:val="24"/>
        </w:rPr>
        <w:t>si direbbe in perfetta</w:t>
      </w:r>
      <w:r w:rsidR="00230581" w:rsidRPr="00D9553E">
        <w:rPr>
          <w:rFonts w:ascii="Times New Roman" w:hAnsi="Times New Roman" w:cs="Times New Roman"/>
          <w:sz w:val="24"/>
          <w:szCs w:val="24"/>
        </w:rPr>
        <w:t xml:space="preserve"> continuità con le indicazioni provenienti dall’Unione</w:t>
      </w:r>
      <w:r w:rsidR="003F4250">
        <w:rPr>
          <w:rFonts w:ascii="Times New Roman" w:hAnsi="Times New Roman" w:cs="Times New Roman"/>
          <w:sz w:val="24"/>
          <w:szCs w:val="24"/>
        </w:rPr>
        <w:t>-</w:t>
      </w:r>
      <w:r w:rsidR="00230581" w:rsidRPr="00D9553E">
        <w:rPr>
          <w:rFonts w:ascii="Times New Roman" w:hAnsi="Times New Roman" w:cs="Times New Roman"/>
          <w:sz w:val="24"/>
          <w:szCs w:val="24"/>
        </w:rPr>
        <w:t xml:space="preserve"> riconosce </w:t>
      </w:r>
      <w:r w:rsidR="00187975" w:rsidRPr="00D9553E">
        <w:rPr>
          <w:rFonts w:ascii="Times New Roman" w:hAnsi="Times New Roman" w:cs="Times New Roman"/>
          <w:sz w:val="24"/>
          <w:szCs w:val="24"/>
        </w:rPr>
        <w:t>la</w:t>
      </w:r>
      <w:r w:rsidR="009C0925" w:rsidRPr="00D9553E">
        <w:rPr>
          <w:rFonts w:ascii="Times New Roman" w:hAnsi="Times New Roman" w:cs="Times New Roman"/>
          <w:sz w:val="24"/>
          <w:szCs w:val="24"/>
        </w:rPr>
        <w:t xml:space="preserve"> presupposta</w:t>
      </w:r>
      <w:r w:rsidR="00187975" w:rsidRPr="00D9553E">
        <w:rPr>
          <w:rFonts w:ascii="Times New Roman" w:hAnsi="Times New Roman" w:cs="Times New Roman"/>
          <w:sz w:val="24"/>
          <w:szCs w:val="24"/>
        </w:rPr>
        <w:t xml:space="preserve"> necessità di un’adeguata analisi scientifica della situazione di fatto (fase della “valutazione del rischio”) </w:t>
      </w:r>
      <w:r w:rsidR="006A6337" w:rsidRPr="00D9553E">
        <w:rPr>
          <w:rFonts w:ascii="Times New Roman" w:hAnsi="Times New Roman" w:cs="Times New Roman"/>
          <w:sz w:val="24"/>
          <w:szCs w:val="24"/>
        </w:rPr>
        <w:t>«</w:t>
      </w:r>
      <w:r w:rsidR="007A0AA8" w:rsidRPr="00D9553E">
        <w:rPr>
          <w:rFonts w:ascii="Times New Roman" w:hAnsi="Times New Roman" w:cs="Times New Roman"/>
          <w:sz w:val="24"/>
          <w:szCs w:val="24"/>
        </w:rPr>
        <w:t xml:space="preserve">calata nella concretezza del </w:t>
      </w:r>
      <w:proofErr w:type="gramStart"/>
      <w:r w:rsidR="007A0AA8" w:rsidRPr="00D9553E">
        <w:rPr>
          <w:rFonts w:ascii="Times New Roman" w:hAnsi="Times New Roman" w:cs="Times New Roman"/>
          <w:sz w:val="24"/>
          <w:szCs w:val="24"/>
        </w:rPr>
        <w:t>contesto</w:t>
      </w:r>
      <w:proofErr w:type="gramEnd"/>
      <w:r w:rsidR="007A0AA8" w:rsidRPr="00D9553E">
        <w:rPr>
          <w:rFonts w:ascii="Times New Roman" w:hAnsi="Times New Roman" w:cs="Times New Roman"/>
          <w:sz w:val="24"/>
          <w:szCs w:val="24"/>
        </w:rPr>
        <w:t xml:space="preserve"> spazio-temporale di riferimento, valutazione che deve concludersi con un giudizio di stretta necessità</w:t>
      </w:r>
      <w:r w:rsidR="006A6337" w:rsidRPr="00D9553E">
        <w:rPr>
          <w:rFonts w:ascii="Times New Roman" w:hAnsi="Times New Roman" w:cs="Times New Roman"/>
          <w:sz w:val="24"/>
          <w:szCs w:val="24"/>
        </w:rPr>
        <w:t>»</w:t>
      </w:r>
      <w:r w:rsidR="006A6337" w:rsidRPr="00D9553E">
        <w:rPr>
          <w:rStyle w:val="Rimandonotaapidipagina"/>
          <w:rFonts w:ascii="Times New Roman" w:hAnsi="Times New Roman" w:cs="Times New Roman"/>
          <w:sz w:val="24"/>
          <w:szCs w:val="24"/>
        </w:rPr>
        <w:footnoteReference w:id="25"/>
      </w:r>
      <w:proofErr w:type="gramStart"/>
      <w:r w:rsidR="005D7D85" w:rsidRPr="00D9553E">
        <w:rPr>
          <w:rFonts w:ascii="Times New Roman" w:hAnsi="Times New Roman" w:cs="Times New Roman"/>
          <w:sz w:val="24"/>
          <w:szCs w:val="24"/>
        </w:rPr>
        <w:t>,</w:t>
      </w:r>
      <w:r w:rsidR="00D60BF0" w:rsidRPr="00D9553E">
        <w:rPr>
          <w:rFonts w:ascii="Times New Roman" w:hAnsi="Times New Roman" w:cs="Times New Roman"/>
          <w:sz w:val="24"/>
          <w:szCs w:val="24"/>
        </w:rPr>
        <w:t xml:space="preserve"> </w:t>
      </w:r>
      <w:proofErr w:type="gramEnd"/>
      <w:r w:rsidR="006920AC" w:rsidRPr="00D9553E">
        <w:rPr>
          <w:rFonts w:ascii="Times New Roman" w:hAnsi="Times New Roman" w:cs="Times New Roman"/>
          <w:sz w:val="24"/>
          <w:szCs w:val="24"/>
        </w:rPr>
        <w:t>ma non richiede l'esistenza di evidenze scientifiche consolidate sulla correlazione tra la causa, oggetto di divieto o limitazione, e gli effetti negativi che ci si prefigg</w:t>
      </w:r>
      <w:r w:rsidR="00AB0E94">
        <w:rPr>
          <w:rFonts w:ascii="Times New Roman" w:hAnsi="Times New Roman" w:cs="Times New Roman"/>
          <w:sz w:val="24"/>
          <w:szCs w:val="24"/>
        </w:rPr>
        <w:t>a</w:t>
      </w:r>
      <w:r w:rsidR="006920AC" w:rsidRPr="00D9553E">
        <w:rPr>
          <w:rFonts w:ascii="Times New Roman" w:hAnsi="Times New Roman" w:cs="Times New Roman"/>
          <w:sz w:val="24"/>
          <w:szCs w:val="24"/>
        </w:rPr>
        <w:t xml:space="preserve"> di eliminare o ridurre</w:t>
      </w:r>
      <w:r w:rsidR="002C6139" w:rsidRPr="00D9553E">
        <w:rPr>
          <w:rStyle w:val="Rimandonotaapidipagina"/>
          <w:rFonts w:ascii="Times New Roman" w:hAnsi="Times New Roman" w:cs="Times New Roman"/>
          <w:sz w:val="24"/>
          <w:szCs w:val="24"/>
        </w:rPr>
        <w:footnoteReference w:id="26"/>
      </w:r>
      <w:r w:rsidR="00230581" w:rsidRPr="00D9553E">
        <w:rPr>
          <w:rFonts w:ascii="Times New Roman" w:hAnsi="Times New Roman" w:cs="Times New Roman"/>
          <w:sz w:val="24"/>
          <w:szCs w:val="24"/>
        </w:rPr>
        <w:t xml:space="preserve">. </w:t>
      </w:r>
    </w:p>
    <w:p w14:paraId="704FA6AF" w14:textId="44E073C5" w:rsidR="007E1F68" w:rsidRPr="00D9553E" w:rsidRDefault="0080026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30581" w:rsidRPr="00D9553E">
        <w:rPr>
          <w:rFonts w:ascii="Times New Roman" w:hAnsi="Times New Roman" w:cs="Times New Roman"/>
          <w:sz w:val="24"/>
          <w:szCs w:val="24"/>
        </w:rPr>
        <w:t>Il Consiglio di Stato ha avuto modo di chiarire</w:t>
      </w:r>
      <w:r w:rsidR="0012371E">
        <w:rPr>
          <w:rFonts w:ascii="Times New Roman" w:hAnsi="Times New Roman" w:cs="Times New Roman"/>
          <w:sz w:val="24"/>
          <w:szCs w:val="24"/>
        </w:rPr>
        <w:t xml:space="preserve"> -a questo proposito-</w:t>
      </w:r>
      <w:r w:rsidR="00230581" w:rsidRPr="00D9553E">
        <w:rPr>
          <w:rFonts w:ascii="Times New Roman" w:hAnsi="Times New Roman" w:cs="Times New Roman"/>
          <w:sz w:val="24"/>
          <w:szCs w:val="24"/>
        </w:rPr>
        <w:t xml:space="preserve"> che </w:t>
      </w:r>
      <w:r w:rsidR="006920AC" w:rsidRPr="00D9553E">
        <w:rPr>
          <w:rFonts w:ascii="Times New Roman" w:hAnsi="Times New Roman" w:cs="Times New Roman"/>
          <w:sz w:val="24"/>
          <w:szCs w:val="24"/>
        </w:rPr>
        <w:t>l’azione dei pubblici poteri deve tradursi in una prevenzione anticipata rispetto al consolidamento delle conoscenze scientifiche, anche nei casi in cui i danni siano poco conosciuti o solo potenziali</w:t>
      </w:r>
      <w:proofErr w:type="gramStart"/>
      <w:r w:rsidR="00EB04EB" w:rsidRPr="00D9553E">
        <w:rPr>
          <w:rStyle w:val="Rimandonotaapidipagina"/>
          <w:rFonts w:ascii="Times New Roman" w:hAnsi="Times New Roman" w:cs="Times New Roman"/>
          <w:sz w:val="24"/>
          <w:szCs w:val="24"/>
        </w:rPr>
        <w:footnoteReference w:id="27"/>
      </w:r>
      <w:r w:rsidR="00EB04EB" w:rsidRPr="00D9553E">
        <w:rPr>
          <w:rFonts w:ascii="Times New Roman" w:hAnsi="Times New Roman" w:cs="Times New Roman"/>
          <w:sz w:val="24"/>
          <w:szCs w:val="24"/>
        </w:rPr>
        <w:t>,</w:t>
      </w:r>
      <w:proofErr w:type="gramEnd"/>
      <w:r w:rsidR="00230581" w:rsidRPr="00D9553E">
        <w:rPr>
          <w:rFonts w:ascii="Times New Roman" w:hAnsi="Times New Roman" w:cs="Times New Roman"/>
          <w:sz w:val="24"/>
          <w:szCs w:val="24"/>
        </w:rPr>
        <w:t xml:space="preserve"> pur se </w:t>
      </w:r>
      <w:r w:rsidR="00126571" w:rsidRPr="00D9553E">
        <w:rPr>
          <w:rFonts w:ascii="Times New Roman" w:hAnsi="Times New Roman" w:cs="Times New Roman"/>
          <w:sz w:val="24"/>
          <w:szCs w:val="24"/>
        </w:rPr>
        <w:t xml:space="preserve">deve escludersi </w:t>
      </w:r>
      <w:r w:rsidR="00187975" w:rsidRPr="00D9553E">
        <w:rPr>
          <w:rFonts w:ascii="Times New Roman" w:hAnsi="Times New Roman" w:cs="Times New Roman"/>
          <w:color w:val="000000" w:themeColor="text1"/>
          <w:sz w:val="24"/>
          <w:szCs w:val="24"/>
        </w:rPr>
        <w:t>un approccio puramente ipotetico del rischio, fondato su semplici supposizioni non a</w:t>
      </w:r>
      <w:r w:rsidR="006A6337" w:rsidRPr="00D9553E">
        <w:rPr>
          <w:rFonts w:ascii="Times New Roman" w:hAnsi="Times New Roman" w:cs="Times New Roman"/>
          <w:color w:val="000000" w:themeColor="text1"/>
          <w:sz w:val="24"/>
          <w:szCs w:val="24"/>
        </w:rPr>
        <w:t>ncora accertate scientificamente</w:t>
      </w:r>
      <w:r w:rsidR="00230581" w:rsidRPr="00D9553E">
        <w:rPr>
          <w:rStyle w:val="Rimandonotaapidipagina"/>
          <w:rFonts w:ascii="Times New Roman" w:hAnsi="Times New Roman" w:cs="Times New Roman"/>
          <w:sz w:val="24"/>
          <w:szCs w:val="24"/>
        </w:rPr>
        <w:footnoteReference w:id="28"/>
      </w:r>
      <w:r w:rsidR="00230581" w:rsidRPr="00D9553E">
        <w:rPr>
          <w:rFonts w:ascii="Times New Roman" w:hAnsi="Times New Roman" w:cs="Times New Roman"/>
          <w:sz w:val="24"/>
          <w:szCs w:val="24"/>
        </w:rPr>
        <w:t xml:space="preserve">. Sul </w:t>
      </w:r>
      <w:r w:rsidR="006A6337" w:rsidRPr="00D9553E">
        <w:rPr>
          <w:rFonts w:ascii="Times New Roman" w:hAnsi="Times New Roman" w:cs="Times New Roman"/>
          <w:sz w:val="24"/>
          <w:szCs w:val="24"/>
        </w:rPr>
        <w:t xml:space="preserve">versante procedimentale, </w:t>
      </w:r>
      <w:r w:rsidR="004F4198" w:rsidRPr="00D9553E">
        <w:rPr>
          <w:rFonts w:ascii="Times New Roman" w:hAnsi="Times New Roman" w:cs="Times New Roman"/>
          <w:sz w:val="24"/>
          <w:szCs w:val="24"/>
        </w:rPr>
        <w:t>è stata affermata</w:t>
      </w:r>
      <w:r w:rsidR="006A6337" w:rsidRPr="00D9553E">
        <w:rPr>
          <w:rFonts w:ascii="Times New Roman" w:hAnsi="Times New Roman" w:cs="Times New Roman"/>
          <w:sz w:val="24"/>
          <w:szCs w:val="24"/>
        </w:rPr>
        <w:t xml:space="preserve"> «</w:t>
      </w:r>
      <w:r w:rsidR="00187975" w:rsidRPr="00D9553E">
        <w:rPr>
          <w:rFonts w:ascii="Times New Roman" w:hAnsi="Times New Roman" w:cs="Times New Roman"/>
          <w:i/>
          <w:sz w:val="24"/>
          <w:szCs w:val="24"/>
        </w:rPr>
        <w:t xml:space="preserve">la necessità di riconoscere canali istituzionali di coinvolgimento dei cittadini, delle loro formazioni sociali e delle loro comunità di riferimento, nell'esercizio della funzione (globalmente rilevante) di amministrazione del rischio, sia a livello comunitario </w:t>
      </w:r>
      <w:proofErr w:type="gramStart"/>
      <w:r w:rsidR="00187975" w:rsidRPr="00D9553E">
        <w:rPr>
          <w:rFonts w:ascii="Times New Roman" w:hAnsi="Times New Roman" w:cs="Times New Roman"/>
          <w:i/>
          <w:sz w:val="24"/>
          <w:szCs w:val="24"/>
        </w:rPr>
        <w:t>che</w:t>
      </w:r>
      <w:proofErr w:type="gramEnd"/>
      <w:r w:rsidR="00187975" w:rsidRPr="00D9553E">
        <w:rPr>
          <w:rFonts w:ascii="Times New Roman" w:hAnsi="Times New Roman" w:cs="Times New Roman"/>
          <w:i/>
          <w:sz w:val="24"/>
          <w:szCs w:val="24"/>
        </w:rPr>
        <w:t xml:space="preserve"> a livello nazionale</w:t>
      </w:r>
      <w:r w:rsidR="006A6337" w:rsidRPr="00D9553E">
        <w:rPr>
          <w:rFonts w:ascii="Times New Roman" w:hAnsi="Times New Roman" w:cs="Times New Roman"/>
          <w:sz w:val="24"/>
          <w:szCs w:val="24"/>
        </w:rPr>
        <w:t>»</w:t>
      </w:r>
      <w:r w:rsidR="006A6337" w:rsidRPr="00D9553E">
        <w:rPr>
          <w:rStyle w:val="Rimandonotaapidipagina"/>
          <w:rFonts w:ascii="Times New Roman" w:hAnsi="Times New Roman" w:cs="Times New Roman"/>
          <w:sz w:val="24"/>
          <w:szCs w:val="24"/>
        </w:rPr>
        <w:footnoteReference w:id="29"/>
      </w:r>
      <w:r w:rsidR="00230581" w:rsidRPr="00D9553E">
        <w:rPr>
          <w:rFonts w:ascii="Times New Roman" w:hAnsi="Times New Roman" w:cs="Times New Roman"/>
          <w:sz w:val="24"/>
          <w:szCs w:val="24"/>
        </w:rPr>
        <w:t xml:space="preserve">. </w:t>
      </w:r>
    </w:p>
    <w:p w14:paraId="21ACC6F8" w14:textId="50134F7A" w:rsidR="002F04EA" w:rsidRPr="00D9553E" w:rsidRDefault="0080026F" w:rsidP="0080026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30581" w:rsidRPr="00D9553E">
        <w:rPr>
          <w:rFonts w:ascii="Times New Roman" w:hAnsi="Times New Roman" w:cs="Times New Roman"/>
          <w:sz w:val="24"/>
          <w:szCs w:val="24"/>
        </w:rPr>
        <w:t>Tuttavia</w:t>
      </w:r>
      <w:r w:rsidR="005D7D85" w:rsidRPr="00D9553E">
        <w:rPr>
          <w:rFonts w:ascii="Times New Roman" w:hAnsi="Times New Roman" w:cs="Times New Roman"/>
          <w:sz w:val="24"/>
          <w:szCs w:val="24"/>
        </w:rPr>
        <w:t>,</w:t>
      </w:r>
      <w:r w:rsidR="00230581" w:rsidRPr="00D9553E">
        <w:rPr>
          <w:rFonts w:ascii="Times New Roman" w:hAnsi="Times New Roman" w:cs="Times New Roman"/>
          <w:sz w:val="24"/>
          <w:szCs w:val="24"/>
        </w:rPr>
        <w:t xml:space="preserve"> le misure adottate sulla base del </w:t>
      </w:r>
      <w:r w:rsidR="00630807" w:rsidRPr="00D9553E">
        <w:rPr>
          <w:rFonts w:ascii="Times New Roman" w:hAnsi="Times New Roman" w:cs="Times New Roman"/>
          <w:sz w:val="24"/>
          <w:szCs w:val="24"/>
        </w:rPr>
        <w:t>principio</w:t>
      </w:r>
      <w:r w:rsidR="00230581" w:rsidRPr="00D9553E">
        <w:rPr>
          <w:rFonts w:ascii="Times New Roman" w:hAnsi="Times New Roman" w:cs="Times New Roman"/>
          <w:sz w:val="24"/>
          <w:szCs w:val="24"/>
        </w:rPr>
        <w:t xml:space="preserve"> devono apparire non solo </w:t>
      </w:r>
      <w:proofErr w:type="gramStart"/>
      <w:r w:rsidR="00230581" w:rsidRPr="00D9553E">
        <w:rPr>
          <w:rFonts w:ascii="Times New Roman" w:hAnsi="Times New Roman" w:cs="Times New Roman"/>
          <w:sz w:val="24"/>
          <w:szCs w:val="24"/>
        </w:rPr>
        <w:t>utili</w:t>
      </w:r>
      <w:r w:rsidR="005D7D85" w:rsidRPr="00D9553E">
        <w:rPr>
          <w:rFonts w:ascii="Times New Roman" w:hAnsi="Times New Roman" w:cs="Times New Roman"/>
          <w:sz w:val="24"/>
          <w:szCs w:val="24"/>
        </w:rPr>
        <w:t>,</w:t>
      </w:r>
      <w:r w:rsidR="00230581" w:rsidRPr="00D9553E">
        <w:rPr>
          <w:rFonts w:ascii="Times New Roman" w:hAnsi="Times New Roman" w:cs="Times New Roman"/>
          <w:sz w:val="24"/>
          <w:szCs w:val="24"/>
        </w:rPr>
        <w:t xml:space="preserve"> ma</w:t>
      </w:r>
      <w:proofErr w:type="gramEnd"/>
      <w:r w:rsidR="00230581" w:rsidRPr="00D9553E">
        <w:rPr>
          <w:rFonts w:ascii="Times New Roman" w:hAnsi="Times New Roman" w:cs="Times New Roman"/>
          <w:sz w:val="24"/>
          <w:szCs w:val="24"/>
        </w:rPr>
        <w:t xml:space="preserve"> “necessarie”</w:t>
      </w:r>
      <w:r w:rsidR="005D7D85" w:rsidRPr="00D9553E">
        <w:rPr>
          <w:rFonts w:ascii="Times New Roman" w:hAnsi="Times New Roman" w:cs="Times New Roman"/>
          <w:sz w:val="24"/>
          <w:szCs w:val="24"/>
        </w:rPr>
        <w:t>,</w:t>
      </w:r>
      <w:r w:rsidR="00230581" w:rsidRPr="00D9553E">
        <w:rPr>
          <w:rFonts w:ascii="Times New Roman" w:hAnsi="Times New Roman" w:cs="Times New Roman"/>
          <w:sz w:val="24"/>
          <w:szCs w:val="24"/>
        </w:rPr>
        <w:t xml:space="preserve"> </w:t>
      </w:r>
      <w:r w:rsidR="00BA7CA0" w:rsidRPr="00D9553E">
        <w:rPr>
          <w:rFonts w:ascii="Times New Roman" w:hAnsi="Times New Roman" w:cs="Times New Roman"/>
          <w:sz w:val="24"/>
          <w:szCs w:val="24"/>
        </w:rPr>
        <w:t>al fine di evitare pregiudizi all’ambiente o alla salute</w:t>
      </w:r>
      <w:r w:rsidR="00BA7CA0" w:rsidRPr="00D9553E">
        <w:rPr>
          <w:rStyle w:val="Rimandonotaapidipagina"/>
          <w:rFonts w:ascii="Times New Roman" w:hAnsi="Times New Roman" w:cs="Times New Roman"/>
          <w:sz w:val="24"/>
          <w:szCs w:val="24"/>
        </w:rPr>
        <w:footnoteReference w:id="30"/>
      </w:r>
      <w:r w:rsidR="00230581" w:rsidRPr="00D9553E">
        <w:rPr>
          <w:rFonts w:ascii="Times New Roman" w:hAnsi="Times New Roman" w:cs="Times New Roman"/>
          <w:sz w:val="24"/>
          <w:szCs w:val="24"/>
        </w:rPr>
        <w:t xml:space="preserve"> </w:t>
      </w:r>
      <w:proofErr w:type="gramStart"/>
      <w:r w:rsidR="00230581" w:rsidRPr="00D9553E">
        <w:rPr>
          <w:rFonts w:ascii="Times New Roman" w:hAnsi="Times New Roman" w:cs="Times New Roman"/>
          <w:sz w:val="24"/>
          <w:szCs w:val="24"/>
        </w:rPr>
        <w:t>e</w:t>
      </w:r>
      <w:proofErr w:type="gramEnd"/>
      <w:r w:rsidR="00230581" w:rsidRPr="00D9553E">
        <w:rPr>
          <w:rFonts w:ascii="Times New Roman" w:hAnsi="Times New Roman" w:cs="Times New Roman"/>
          <w:sz w:val="24"/>
          <w:szCs w:val="24"/>
        </w:rPr>
        <w:t xml:space="preserve"> comunque conformi ad un </w:t>
      </w:r>
      <w:r w:rsidR="00630807" w:rsidRPr="00D9553E">
        <w:rPr>
          <w:rFonts w:ascii="Times New Roman" w:hAnsi="Times New Roman" w:cs="Times New Roman"/>
          <w:sz w:val="24"/>
          <w:szCs w:val="24"/>
        </w:rPr>
        <w:t>principio</w:t>
      </w:r>
      <w:r w:rsidR="00230581" w:rsidRPr="00D9553E">
        <w:rPr>
          <w:rFonts w:ascii="Times New Roman" w:hAnsi="Times New Roman" w:cs="Times New Roman"/>
          <w:sz w:val="24"/>
          <w:szCs w:val="24"/>
        </w:rPr>
        <w:t xml:space="preserve"> di proporzionalità, nella ricerca di un equilibrato bilanciamento dei contrapposti interessi in gioco</w:t>
      </w:r>
      <w:r w:rsidR="005010AD" w:rsidRPr="00D9553E">
        <w:rPr>
          <w:rFonts w:ascii="Times New Roman" w:hAnsi="Times New Roman" w:cs="Times New Roman"/>
          <w:sz w:val="24"/>
          <w:szCs w:val="24"/>
        </w:rPr>
        <w:t xml:space="preserve"> e sorrette da un apparato motivazionale </w:t>
      </w:r>
      <w:r w:rsidR="005010AD" w:rsidRPr="00D9553E">
        <w:rPr>
          <w:rFonts w:ascii="Times New Roman" w:hAnsi="Times New Roman" w:cs="Times New Roman"/>
          <w:sz w:val="24"/>
          <w:szCs w:val="24"/>
        </w:rPr>
        <w:lastRenderedPageBreak/>
        <w:t>particolarmente rigoroso, che tenga conto di un'attività istruttoria parimenti “ineccepibile”</w:t>
      </w:r>
      <w:r w:rsidR="005010AD" w:rsidRPr="00D9553E">
        <w:rPr>
          <w:rStyle w:val="Rimandonotaapidipagina"/>
          <w:rFonts w:ascii="Times New Roman" w:hAnsi="Times New Roman" w:cs="Times New Roman"/>
          <w:sz w:val="24"/>
          <w:szCs w:val="24"/>
        </w:rPr>
        <w:footnoteReference w:id="31"/>
      </w:r>
      <w:proofErr w:type="gramStart"/>
      <w:r w:rsidR="0024220F" w:rsidRPr="00D9553E">
        <w:rPr>
          <w:rFonts w:ascii="Times New Roman" w:hAnsi="Times New Roman" w:cs="Times New Roman"/>
          <w:sz w:val="24"/>
          <w:szCs w:val="24"/>
        </w:rPr>
        <w:t>.</w:t>
      </w:r>
    </w:p>
    <w:p w14:paraId="7C59E1F8" w14:textId="77777777" w:rsidR="00876E16" w:rsidRPr="00D9553E" w:rsidRDefault="00876E16" w:rsidP="00E9248E">
      <w:pPr>
        <w:pStyle w:val="Paragrafoelenco"/>
        <w:spacing w:after="0" w:line="360" w:lineRule="auto"/>
        <w:ind w:left="0"/>
        <w:rPr>
          <w:rFonts w:ascii="Times New Roman" w:hAnsi="Times New Roman" w:cs="Times New Roman"/>
          <w:sz w:val="24"/>
          <w:szCs w:val="24"/>
        </w:rPr>
      </w:pPr>
      <w:proofErr w:type="gramEnd"/>
    </w:p>
    <w:p w14:paraId="1F3EEB0B" w14:textId="0FDCCF78" w:rsidR="0048159C" w:rsidRDefault="00AD2FFC" w:rsidP="00E9248E">
      <w:pPr>
        <w:spacing w:after="0" w:line="360" w:lineRule="auto"/>
        <w:contextualSpacing/>
        <w:jc w:val="both"/>
        <w:rPr>
          <w:rFonts w:ascii="Times New Roman" w:hAnsi="Times New Roman" w:cs="Times New Roman"/>
          <w:i/>
          <w:sz w:val="24"/>
          <w:szCs w:val="24"/>
        </w:rPr>
      </w:pPr>
      <w:r w:rsidRPr="00D9553E">
        <w:rPr>
          <w:rFonts w:ascii="Times New Roman" w:hAnsi="Times New Roman" w:cs="Times New Roman"/>
          <w:i/>
          <w:sz w:val="24"/>
          <w:szCs w:val="24"/>
        </w:rPr>
        <w:t xml:space="preserve">4. </w:t>
      </w:r>
      <w:r w:rsidR="0080026F">
        <w:rPr>
          <w:rFonts w:ascii="Times New Roman" w:hAnsi="Times New Roman" w:cs="Times New Roman"/>
          <w:i/>
          <w:sz w:val="24"/>
          <w:szCs w:val="24"/>
        </w:rPr>
        <w:tab/>
      </w:r>
      <w:r w:rsidR="00126571" w:rsidRPr="00D9553E">
        <w:rPr>
          <w:rFonts w:ascii="Times New Roman" w:hAnsi="Times New Roman" w:cs="Times New Roman"/>
          <w:i/>
          <w:sz w:val="24"/>
          <w:szCs w:val="24"/>
        </w:rPr>
        <w:t xml:space="preserve">Fondamento e limiti del potere di ordinanza </w:t>
      </w:r>
      <w:r w:rsidR="00126571" w:rsidRPr="00D9553E">
        <w:rPr>
          <w:rFonts w:ascii="Times New Roman" w:hAnsi="Times New Roman" w:cs="Times New Roman"/>
          <w:sz w:val="24"/>
          <w:szCs w:val="24"/>
        </w:rPr>
        <w:t xml:space="preserve">extra </w:t>
      </w:r>
      <w:proofErr w:type="spellStart"/>
      <w:r w:rsidR="00126571" w:rsidRPr="00D9553E">
        <w:rPr>
          <w:rFonts w:ascii="Times New Roman" w:hAnsi="Times New Roman" w:cs="Times New Roman"/>
          <w:sz w:val="24"/>
          <w:szCs w:val="24"/>
        </w:rPr>
        <w:t>ordinem</w:t>
      </w:r>
      <w:proofErr w:type="spellEnd"/>
      <w:r w:rsidR="00126571" w:rsidRPr="00D9553E">
        <w:rPr>
          <w:rFonts w:ascii="Times New Roman" w:hAnsi="Times New Roman" w:cs="Times New Roman"/>
          <w:sz w:val="24"/>
          <w:szCs w:val="24"/>
        </w:rPr>
        <w:t xml:space="preserve"> </w:t>
      </w:r>
      <w:proofErr w:type="gramStart"/>
      <w:r w:rsidR="00126571" w:rsidRPr="00D9553E">
        <w:rPr>
          <w:rFonts w:ascii="Times New Roman" w:hAnsi="Times New Roman" w:cs="Times New Roman"/>
          <w:i/>
          <w:sz w:val="24"/>
          <w:szCs w:val="24"/>
        </w:rPr>
        <w:t>del</w:t>
      </w:r>
      <w:proofErr w:type="gramEnd"/>
      <w:r w:rsidR="00126571" w:rsidRPr="00D9553E">
        <w:rPr>
          <w:rFonts w:ascii="Times New Roman" w:hAnsi="Times New Roman" w:cs="Times New Roman"/>
          <w:i/>
          <w:sz w:val="24"/>
          <w:szCs w:val="24"/>
        </w:rPr>
        <w:t xml:space="preserve"> </w:t>
      </w:r>
      <w:r w:rsidR="005D7D85" w:rsidRPr="00D9553E">
        <w:rPr>
          <w:rFonts w:ascii="Times New Roman" w:hAnsi="Times New Roman" w:cs="Times New Roman"/>
          <w:i/>
          <w:sz w:val="24"/>
          <w:szCs w:val="24"/>
        </w:rPr>
        <w:t>S</w:t>
      </w:r>
      <w:r w:rsidR="00126571" w:rsidRPr="00D9553E">
        <w:rPr>
          <w:rFonts w:ascii="Times New Roman" w:hAnsi="Times New Roman" w:cs="Times New Roman"/>
          <w:i/>
          <w:sz w:val="24"/>
          <w:szCs w:val="24"/>
        </w:rPr>
        <w:t>indaco</w:t>
      </w:r>
    </w:p>
    <w:p w14:paraId="250FE166" w14:textId="77777777" w:rsidR="0080026F" w:rsidRPr="00D9553E" w:rsidRDefault="0080026F" w:rsidP="00E9248E">
      <w:pPr>
        <w:spacing w:after="0" w:line="360" w:lineRule="auto"/>
        <w:contextualSpacing/>
        <w:jc w:val="both"/>
        <w:rPr>
          <w:rFonts w:ascii="Times New Roman" w:hAnsi="Times New Roman" w:cs="Times New Roman"/>
          <w:i/>
          <w:sz w:val="24"/>
          <w:szCs w:val="24"/>
        </w:rPr>
      </w:pPr>
    </w:p>
    <w:p w14:paraId="4BCBD9E4" w14:textId="12743294" w:rsidR="000F45BE" w:rsidRPr="00D9553E" w:rsidRDefault="00B929AD"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8159C" w:rsidRPr="00D9553E">
        <w:rPr>
          <w:rFonts w:ascii="Times New Roman" w:hAnsi="Times New Roman" w:cs="Times New Roman"/>
          <w:sz w:val="24"/>
          <w:szCs w:val="24"/>
        </w:rPr>
        <w:t>Alla luce di questa</w:t>
      </w:r>
      <w:r w:rsidR="00DF07CA" w:rsidRPr="00D9553E">
        <w:rPr>
          <w:rFonts w:ascii="Times New Roman" w:hAnsi="Times New Roman" w:cs="Times New Roman"/>
          <w:sz w:val="24"/>
          <w:szCs w:val="24"/>
        </w:rPr>
        <w:t>,</w:t>
      </w:r>
      <w:r w:rsidR="0048159C" w:rsidRPr="00D9553E">
        <w:rPr>
          <w:rFonts w:ascii="Times New Roman" w:hAnsi="Times New Roman" w:cs="Times New Roman"/>
          <w:sz w:val="24"/>
          <w:szCs w:val="24"/>
        </w:rPr>
        <w:t xml:space="preserve"> pur breve</w:t>
      </w:r>
      <w:r w:rsidR="00DF07CA" w:rsidRPr="00D9553E">
        <w:rPr>
          <w:rFonts w:ascii="Times New Roman" w:hAnsi="Times New Roman" w:cs="Times New Roman"/>
          <w:sz w:val="24"/>
          <w:szCs w:val="24"/>
        </w:rPr>
        <w:t>,</w:t>
      </w:r>
      <w:r w:rsidR="0048159C" w:rsidRPr="00D9553E">
        <w:rPr>
          <w:rFonts w:ascii="Times New Roman" w:hAnsi="Times New Roman" w:cs="Times New Roman"/>
          <w:sz w:val="24"/>
          <w:szCs w:val="24"/>
        </w:rPr>
        <w:t xml:space="preserve"> disamina occorre valutare l’idoneità del </w:t>
      </w:r>
      <w:r w:rsidR="000F45BE" w:rsidRPr="00D9553E">
        <w:rPr>
          <w:rFonts w:ascii="Times New Roman" w:hAnsi="Times New Roman" w:cs="Times New Roman"/>
          <w:sz w:val="24"/>
          <w:szCs w:val="24"/>
        </w:rPr>
        <w:t>“</w:t>
      </w:r>
      <w:r w:rsidR="00630807" w:rsidRPr="00D9553E">
        <w:rPr>
          <w:rFonts w:ascii="Times New Roman" w:hAnsi="Times New Roman" w:cs="Times New Roman"/>
          <w:sz w:val="24"/>
          <w:szCs w:val="24"/>
        </w:rPr>
        <w:t>principio</w:t>
      </w:r>
      <w:r w:rsidR="000F45BE" w:rsidRPr="00D9553E">
        <w:rPr>
          <w:rFonts w:ascii="Times New Roman" w:hAnsi="Times New Roman" w:cs="Times New Roman"/>
          <w:sz w:val="24"/>
          <w:szCs w:val="24"/>
        </w:rPr>
        <w:t xml:space="preserve"> di precauzione” </w:t>
      </w:r>
      <w:r w:rsidR="007E1F68" w:rsidRPr="00D9553E">
        <w:rPr>
          <w:rFonts w:ascii="Times New Roman" w:hAnsi="Times New Roman" w:cs="Times New Roman"/>
          <w:sz w:val="24"/>
          <w:szCs w:val="24"/>
        </w:rPr>
        <w:t xml:space="preserve">a costituire </w:t>
      </w:r>
      <w:r w:rsidR="000F45BE" w:rsidRPr="00D9553E">
        <w:rPr>
          <w:rFonts w:ascii="Times New Roman" w:hAnsi="Times New Roman" w:cs="Times New Roman"/>
          <w:sz w:val="24"/>
          <w:szCs w:val="24"/>
        </w:rPr>
        <w:t>fondamento</w:t>
      </w:r>
      <w:r w:rsidR="00503D4A" w:rsidRPr="00D9553E">
        <w:rPr>
          <w:rFonts w:ascii="Times New Roman" w:hAnsi="Times New Roman" w:cs="Times New Roman"/>
          <w:sz w:val="24"/>
          <w:szCs w:val="24"/>
        </w:rPr>
        <w:t xml:space="preserve"> del potere di ordinanza </w:t>
      </w:r>
      <w:r w:rsidR="00503D4A" w:rsidRPr="00D9553E">
        <w:rPr>
          <w:rFonts w:ascii="Times New Roman" w:hAnsi="Times New Roman" w:cs="Times New Roman"/>
          <w:i/>
          <w:sz w:val="24"/>
          <w:szCs w:val="24"/>
        </w:rPr>
        <w:t>ex</w:t>
      </w:r>
      <w:r w:rsidR="00503D4A" w:rsidRPr="00D9553E">
        <w:rPr>
          <w:rFonts w:ascii="Times New Roman" w:hAnsi="Times New Roman" w:cs="Times New Roman"/>
          <w:sz w:val="24"/>
          <w:szCs w:val="24"/>
        </w:rPr>
        <w:t xml:space="preserve"> </w:t>
      </w:r>
      <w:r w:rsidR="000F45BE" w:rsidRPr="00D9553E">
        <w:rPr>
          <w:rFonts w:ascii="Times New Roman" w:hAnsi="Times New Roman" w:cs="Times New Roman"/>
          <w:sz w:val="24"/>
          <w:szCs w:val="24"/>
        </w:rPr>
        <w:t xml:space="preserve">artt. </w:t>
      </w:r>
      <w:proofErr w:type="gramStart"/>
      <w:r w:rsidR="000F45BE" w:rsidRPr="00D9553E">
        <w:rPr>
          <w:rFonts w:ascii="Times New Roman" w:hAnsi="Times New Roman" w:cs="Times New Roman"/>
          <w:sz w:val="24"/>
          <w:szCs w:val="24"/>
        </w:rPr>
        <w:t>50</w:t>
      </w:r>
      <w:proofErr w:type="gramEnd"/>
      <w:r w:rsidR="000F45BE" w:rsidRPr="00D9553E">
        <w:rPr>
          <w:rFonts w:ascii="Times New Roman" w:hAnsi="Times New Roman" w:cs="Times New Roman"/>
          <w:sz w:val="24"/>
          <w:szCs w:val="24"/>
        </w:rPr>
        <w:t xml:space="preserve"> e 54 del d.lgs. 267/2000</w:t>
      </w:r>
      <w:r w:rsidR="00126571" w:rsidRPr="00D9553E">
        <w:rPr>
          <w:rFonts w:ascii="Times New Roman" w:hAnsi="Times New Roman" w:cs="Times New Roman"/>
          <w:sz w:val="24"/>
          <w:szCs w:val="24"/>
        </w:rPr>
        <w:t>.</w:t>
      </w:r>
      <w:r w:rsidR="000F45BE" w:rsidRPr="00D9553E">
        <w:rPr>
          <w:rFonts w:ascii="Times New Roman" w:hAnsi="Times New Roman" w:cs="Times New Roman"/>
          <w:sz w:val="24"/>
          <w:szCs w:val="24"/>
        </w:rPr>
        <w:t xml:space="preserve"> </w:t>
      </w:r>
    </w:p>
    <w:p w14:paraId="6672D1F3" w14:textId="648EFF80" w:rsidR="00A61B45" w:rsidRPr="00D9553E" w:rsidRDefault="00B929AD" w:rsidP="00B929AD">
      <w:pPr>
        <w:pStyle w:val="NormaleWeb"/>
        <w:spacing w:before="0" w:beforeAutospacing="0" w:after="0" w:afterAutospacing="0" w:line="360" w:lineRule="auto"/>
        <w:contextualSpacing/>
      </w:pPr>
      <w:r>
        <w:tab/>
      </w:r>
      <w:r w:rsidR="00DF07CA" w:rsidRPr="00D9553E">
        <w:t xml:space="preserve">In via preliminare </w:t>
      </w:r>
      <w:r w:rsidR="00A61B45" w:rsidRPr="00D9553E">
        <w:t xml:space="preserve">una precisazione appare necessaria. </w:t>
      </w:r>
    </w:p>
    <w:p w14:paraId="5DED341D" w14:textId="19E4F80A" w:rsidR="00FA696C" w:rsidRPr="00D9553E" w:rsidRDefault="006D2B2D" w:rsidP="00E9248E">
      <w:pPr>
        <w:pStyle w:val="NormaleWeb"/>
        <w:spacing w:after="0" w:afterAutospacing="0" w:line="360" w:lineRule="auto"/>
        <w:contextualSpacing/>
        <w:jc w:val="both"/>
      </w:pPr>
      <w:r>
        <w:tab/>
      </w:r>
      <w:r w:rsidR="0048159C" w:rsidRPr="00D9553E">
        <w:t>Il nostro</w:t>
      </w:r>
      <w:r w:rsidR="00503D4A" w:rsidRPr="00D9553E">
        <w:t xml:space="preserve"> sistema giuridico conosce, </w:t>
      </w:r>
      <w:r w:rsidR="0048159C" w:rsidRPr="00D9553E">
        <w:t>da epoca risalente, differenti tipologie di “ordinanze”</w:t>
      </w:r>
      <w:r w:rsidR="00FA696C" w:rsidRPr="00D9553E">
        <w:t xml:space="preserve">: </w:t>
      </w:r>
      <w:r w:rsidR="002127F0" w:rsidRPr="00D9553E">
        <w:t>senza alcuna pretesa di completezza e nella consapevolezza</w:t>
      </w:r>
      <w:r w:rsidR="0092185B" w:rsidRPr="00D9553E">
        <w:t xml:space="preserve"> </w:t>
      </w:r>
      <w:r w:rsidR="002127F0" w:rsidRPr="00D9553E">
        <w:t>dei limiti e della relatività di ogni classificazione, sembra utile il riferimento al</w:t>
      </w:r>
      <w:r w:rsidR="00FA696C" w:rsidRPr="00D9553E">
        <w:t xml:space="preserve">le ordinanze ordinarie o normali; </w:t>
      </w:r>
      <w:r w:rsidR="002127F0" w:rsidRPr="00D9553E">
        <w:t>al</w:t>
      </w:r>
      <w:r w:rsidR="00FA696C" w:rsidRPr="00D9553E">
        <w:t>le ordinanze</w:t>
      </w:r>
      <w:r w:rsidR="00876E16" w:rsidRPr="00D9553E">
        <w:t xml:space="preserve"> di necessità (</w:t>
      </w:r>
      <w:r w:rsidR="00FA696C" w:rsidRPr="00D9553E">
        <w:t>atti necessitati</w:t>
      </w:r>
      <w:r w:rsidR="00876E16" w:rsidRPr="00D9553E">
        <w:t>)</w:t>
      </w:r>
      <w:r w:rsidR="00FA696C" w:rsidRPr="00D9553E">
        <w:t xml:space="preserve">; </w:t>
      </w:r>
      <w:r w:rsidR="002127F0" w:rsidRPr="00D9553E">
        <w:t>al</w:t>
      </w:r>
      <w:r w:rsidR="00FA696C" w:rsidRPr="00D9553E">
        <w:t>le ordinanze di necessità e urgenza</w:t>
      </w:r>
      <w:proofErr w:type="gramStart"/>
      <w:r w:rsidR="00AF70F5" w:rsidRPr="00D9553E">
        <w:rPr>
          <w:rStyle w:val="Rimandonotaapidipagina"/>
        </w:rPr>
        <w:footnoteReference w:id="32"/>
      </w:r>
      <w:r w:rsidR="00FA696C" w:rsidRPr="00D9553E">
        <w:t>.</w:t>
      </w:r>
      <w:proofErr w:type="gramEnd"/>
    </w:p>
    <w:p w14:paraId="6FF51865" w14:textId="6A17D9CC" w:rsidR="00B21DCE" w:rsidRPr="00D9553E" w:rsidRDefault="008C2B77" w:rsidP="00E9248E">
      <w:pPr>
        <w:pStyle w:val="NormaleWeb"/>
        <w:spacing w:after="0" w:afterAutospacing="0" w:line="360" w:lineRule="auto"/>
        <w:contextualSpacing/>
        <w:jc w:val="both"/>
      </w:pPr>
      <w:r>
        <w:tab/>
      </w:r>
      <w:r w:rsidR="005D7D85" w:rsidRPr="00D9553E">
        <w:t>È</w:t>
      </w:r>
      <w:r w:rsidR="00E93315" w:rsidRPr="00D9553E">
        <w:t>, tuttavia,</w:t>
      </w:r>
      <w:r w:rsidR="0092185B" w:rsidRPr="00D9553E">
        <w:t xml:space="preserve"> </w:t>
      </w:r>
      <w:r w:rsidR="00B21DCE" w:rsidRPr="00D9553E">
        <w:t xml:space="preserve">esclusivamente alle </w:t>
      </w:r>
      <w:r w:rsidR="000D6788" w:rsidRPr="00D9553E">
        <w:t xml:space="preserve">“ordinanze di necessità” </w:t>
      </w:r>
      <w:r w:rsidR="00A61B45" w:rsidRPr="00D9553E">
        <w:t>-</w:t>
      </w:r>
      <w:r w:rsidR="000D6788" w:rsidRPr="00D9553E">
        <w:t>intese quali «</w:t>
      </w:r>
      <w:r w:rsidR="000D6788" w:rsidRPr="007802A2">
        <w:rPr>
          <w:i/>
        </w:rPr>
        <w:t xml:space="preserve">atti generali o singolari non predeterminati quanto al contenuto, emanati in casi di urgente </w:t>
      </w:r>
      <w:r w:rsidR="000D6788" w:rsidRPr="007802A2">
        <w:rPr>
          <w:i/>
        </w:rPr>
        <w:lastRenderedPageBreak/>
        <w:t xml:space="preserve">necessità da autorità amministrative diverse dal </w:t>
      </w:r>
      <w:proofErr w:type="gramStart"/>
      <w:r w:rsidR="000D6788" w:rsidRPr="007802A2">
        <w:rPr>
          <w:i/>
        </w:rPr>
        <w:t>Governo</w:t>
      </w:r>
      <w:r w:rsidR="000D6788" w:rsidRPr="00D9553E">
        <w:t>»</w:t>
      </w:r>
      <w:proofErr w:type="gramEnd"/>
      <w:r w:rsidR="000D6788" w:rsidRPr="00D9553E">
        <w:rPr>
          <w:rStyle w:val="Rimandonotaapidipagina"/>
        </w:rPr>
        <w:footnoteReference w:id="33"/>
      </w:r>
      <w:r w:rsidR="00A61B45" w:rsidRPr="00D9553E">
        <w:t xml:space="preserve">- </w:t>
      </w:r>
      <w:r w:rsidR="00B21DCE" w:rsidRPr="00D9553E">
        <w:t>che ci si</w:t>
      </w:r>
      <w:r w:rsidR="00E93315" w:rsidRPr="00D9553E">
        <w:t xml:space="preserve"> soffermerà</w:t>
      </w:r>
      <w:r w:rsidR="0092185B" w:rsidRPr="00D9553E">
        <w:t xml:space="preserve"> </w:t>
      </w:r>
      <w:r w:rsidR="00B21DCE" w:rsidRPr="00D9553E">
        <w:t xml:space="preserve">nel </w:t>
      </w:r>
      <w:proofErr w:type="gramStart"/>
      <w:r w:rsidR="00B21DCE" w:rsidRPr="00D9553E">
        <w:t>prosieguo</w:t>
      </w:r>
      <w:proofErr w:type="gramEnd"/>
      <w:r w:rsidR="00B21DCE" w:rsidRPr="00D9553E">
        <w:t>.</w:t>
      </w:r>
    </w:p>
    <w:p w14:paraId="28B5CF0F" w14:textId="05CE6244" w:rsidR="00FE47E0" w:rsidRPr="00D9553E" w:rsidRDefault="008C2B77" w:rsidP="00E9248E">
      <w:pPr>
        <w:pStyle w:val="NormaleWeb"/>
        <w:spacing w:after="0" w:afterAutospacing="0" w:line="360" w:lineRule="auto"/>
        <w:contextualSpacing/>
        <w:jc w:val="both"/>
      </w:pPr>
      <w:r>
        <w:tab/>
      </w:r>
      <w:r w:rsidR="00B21DCE" w:rsidRPr="00D9553E">
        <w:t>Esse</w:t>
      </w:r>
      <w:r w:rsidR="00E93315" w:rsidRPr="00D9553E">
        <w:t>, infatti,</w:t>
      </w:r>
      <w:r w:rsidR="0092185B" w:rsidRPr="00D9553E">
        <w:t xml:space="preserve"> </w:t>
      </w:r>
      <w:r w:rsidR="00913CE4" w:rsidRPr="00D9553E">
        <w:t>presentano</w:t>
      </w:r>
      <w:r w:rsidR="00E93315" w:rsidRPr="00D9553E">
        <w:t xml:space="preserve"> </w:t>
      </w:r>
      <w:r w:rsidR="00913CE4" w:rsidRPr="00D9553E">
        <w:t>i profili di maggior interesse per la riflessione giuridica in virtù del</w:t>
      </w:r>
      <w:r w:rsidR="00A61B45" w:rsidRPr="00D9553E">
        <w:t xml:space="preserve">la costante tensione che si registra tra potere di ordinanza e </w:t>
      </w:r>
      <w:r w:rsidR="00630807" w:rsidRPr="00D9553E">
        <w:t>principio</w:t>
      </w:r>
      <w:r w:rsidR="00A61B45" w:rsidRPr="00D9553E">
        <w:t xml:space="preserve"> di legalità</w:t>
      </w:r>
      <w:r w:rsidR="00B21DCE" w:rsidRPr="00D9553E">
        <w:t xml:space="preserve">. </w:t>
      </w:r>
    </w:p>
    <w:p w14:paraId="61D5295F" w14:textId="3051ADD1" w:rsidR="000E1334" w:rsidRPr="00D9553E" w:rsidRDefault="008C2B77" w:rsidP="00E9248E">
      <w:pPr>
        <w:pStyle w:val="NormaleWeb"/>
        <w:spacing w:after="0" w:afterAutospacing="0" w:line="360" w:lineRule="auto"/>
        <w:contextualSpacing/>
        <w:jc w:val="both"/>
      </w:pPr>
      <w:r>
        <w:tab/>
        <w:t>È</w:t>
      </w:r>
      <w:r w:rsidR="00C57ABF" w:rsidRPr="00D9553E">
        <w:t xml:space="preserve"> evidente che gli esiti della riflessione su</w:t>
      </w:r>
      <w:r w:rsidR="00E93315" w:rsidRPr="00D9553E">
        <w:t xml:space="preserve"> tale</w:t>
      </w:r>
      <w:r w:rsidR="0092185B" w:rsidRPr="00D9553E">
        <w:t xml:space="preserve"> </w:t>
      </w:r>
      <w:r w:rsidR="00C57ABF" w:rsidRPr="00D9553E">
        <w:t>rapporto dipendono dal significato</w:t>
      </w:r>
      <w:r w:rsidR="00E93315" w:rsidRPr="00D9553E">
        <w:t xml:space="preserve"> che si attribuisca</w:t>
      </w:r>
      <w:r w:rsidR="00C57ABF" w:rsidRPr="00D9553E">
        <w:t xml:space="preserve"> e</w:t>
      </w:r>
      <w:r w:rsidR="0092185B" w:rsidRPr="00D9553E">
        <w:t xml:space="preserve"> </w:t>
      </w:r>
      <w:r w:rsidR="00E93315" w:rsidRPr="00D9553E">
        <w:t xml:space="preserve">dal </w:t>
      </w:r>
      <w:r w:rsidR="00C57ABF" w:rsidRPr="00D9553E">
        <w:t>fondamento</w:t>
      </w:r>
      <w:r w:rsidR="0092185B" w:rsidRPr="00D9553E">
        <w:t xml:space="preserve"> </w:t>
      </w:r>
      <w:r w:rsidR="00E93315" w:rsidRPr="00D9553E">
        <w:t xml:space="preserve">che si sia propensi a riconoscere </w:t>
      </w:r>
      <w:r w:rsidR="00C57ABF" w:rsidRPr="00D9553E">
        <w:t>a</w:t>
      </w:r>
      <w:r w:rsidR="00E93315" w:rsidRPr="00D9553E">
        <w:t>l</w:t>
      </w:r>
      <w:r w:rsidR="0092185B" w:rsidRPr="00D9553E">
        <w:t xml:space="preserve"> </w:t>
      </w:r>
      <w:r w:rsidR="00E93315" w:rsidRPr="00D9553E">
        <w:t>principio di legalità</w:t>
      </w:r>
      <w:r w:rsidR="0092185B" w:rsidRPr="00D9553E">
        <w:t xml:space="preserve"> </w:t>
      </w:r>
      <w:r w:rsidR="00C57ABF" w:rsidRPr="00D9553E">
        <w:t>nell’ordinamento generale.</w:t>
      </w:r>
      <w:r w:rsidR="0092185B" w:rsidRPr="00D9553E">
        <w:t xml:space="preserve"> </w:t>
      </w:r>
      <w:r w:rsidR="00E93315" w:rsidRPr="00D9553E">
        <w:t xml:space="preserve">Tra il suo </w:t>
      </w:r>
      <w:r w:rsidR="00C57ABF" w:rsidRPr="00D9553E">
        <w:t>fondamento costituzionale</w:t>
      </w:r>
      <w:r w:rsidR="00C57ABF" w:rsidRPr="00D9553E">
        <w:rPr>
          <w:vertAlign w:val="superscript"/>
        </w:rPr>
        <w:footnoteReference w:id="34"/>
      </w:r>
      <w:r w:rsidR="00E93315" w:rsidRPr="00D9553E">
        <w:t xml:space="preserve"> </w:t>
      </w:r>
      <w:proofErr w:type="gramStart"/>
      <w:r w:rsidR="00E93315" w:rsidRPr="00D9553E">
        <w:t>e</w:t>
      </w:r>
      <w:proofErr w:type="gramEnd"/>
      <w:r w:rsidR="00E93315" w:rsidRPr="00D9553E">
        <w:t xml:space="preserve"> la codificazione mera</w:t>
      </w:r>
      <w:r w:rsidR="00C57ABF" w:rsidRPr="00D9553E">
        <w:t xml:space="preserve"> a livello di legge ordinaria</w:t>
      </w:r>
      <w:r w:rsidR="00C57ABF" w:rsidRPr="00D9553E">
        <w:rPr>
          <w:vertAlign w:val="superscript"/>
        </w:rPr>
        <w:footnoteReference w:id="35"/>
      </w:r>
      <w:r w:rsidR="0092185B" w:rsidRPr="00D9553E">
        <w:t xml:space="preserve"> </w:t>
      </w:r>
      <w:r w:rsidR="00E93315" w:rsidRPr="00D9553E">
        <w:t xml:space="preserve">si gioca, infatti, la configurabilità di </w:t>
      </w:r>
      <w:r w:rsidR="00C57ABF" w:rsidRPr="00D9553E">
        <w:t>«ambiti amministrativi liberi attribuiti alla prerogativa dell’esecutivo non esclusi dalle riserve di legge»</w:t>
      </w:r>
      <w:r w:rsidR="00C57ABF" w:rsidRPr="00D9553E">
        <w:rPr>
          <w:vertAlign w:val="superscript"/>
        </w:rPr>
        <w:footnoteReference w:id="36"/>
      </w:r>
      <w:r w:rsidR="00C57ABF" w:rsidRPr="00D9553E">
        <w:t xml:space="preserve">. </w:t>
      </w:r>
    </w:p>
    <w:p w14:paraId="49A100D2" w14:textId="7D56E8A2" w:rsidR="00CD4247" w:rsidRPr="00D9553E" w:rsidRDefault="0074061F" w:rsidP="00E9248E">
      <w:pPr>
        <w:pStyle w:val="NormaleWeb"/>
        <w:spacing w:after="0" w:afterAutospacing="0" w:line="360" w:lineRule="auto"/>
        <w:contextualSpacing/>
        <w:jc w:val="both"/>
      </w:pPr>
      <w:r>
        <w:tab/>
      </w:r>
      <w:r w:rsidR="00C57ABF" w:rsidRPr="00D9553E">
        <w:t xml:space="preserve">La tensione tra potere di ordinanza e </w:t>
      </w:r>
      <w:r w:rsidR="00630807" w:rsidRPr="00D9553E">
        <w:t>principio</w:t>
      </w:r>
      <w:r w:rsidR="00C57ABF" w:rsidRPr="00D9553E">
        <w:t xml:space="preserve"> di legalità si correla</w:t>
      </w:r>
      <w:r w:rsidR="005D7D85" w:rsidRPr="00D9553E">
        <w:t>,</w:t>
      </w:r>
      <w:r w:rsidR="00A61B45" w:rsidRPr="00D9553E">
        <w:t xml:space="preserve"> </w:t>
      </w:r>
      <w:r w:rsidR="00B1046F" w:rsidRPr="00D9553E">
        <w:t>da un lato</w:t>
      </w:r>
      <w:r w:rsidR="005D7D85" w:rsidRPr="00D9553E">
        <w:t>,</w:t>
      </w:r>
      <w:r w:rsidR="00B1046F" w:rsidRPr="00D9553E">
        <w:t xml:space="preserve"> </w:t>
      </w:r>
      <w:r w:rsidR="00A61B45" w:rsidRPr="00D9553E">
        <w:t>al</w:t>
      </w:r>
      <w:r w:rsidR="00913CE4" w:rsidRPr="00D9553E">
        <w:t>l’idoneità (riconosciuta dall</w:t>
      </w:r>
      <w:r w:rsidR="00B1046F" w:rsidRPr="00D9553E">
        <w:t xml:space="preserve">a legge) </w:t>
      </w:r>
      <w:r w:rsidR="00913CE4" w:rsidRPr="00D9553E">
        <w:t>d</w:t>
      </w:r>
      <w:r w:rsidR="00C57ABF" w:rsidRPr="00D9553E">
        <w:t>e</w:t>
      </w:r>
      <w:r w:rsidR="00913CE4" w:rsidRPr="00D9553E">
        <w:t xml:space="preserve">i provvedimenti </w:t>
      </w:r>
      <w:r w:rsidR="00987DE5">
        <w:t xml:space="preserve">ordinatori </w:t>
      </w:r>
      <w:r w:rsidR="00913CE4" w:rsidRPr="00D9553E">
        <w:t xml:space="preserve">a derogare </w:t>
      </w:r>
      <w:r w:rsidR="00B1046F" w:rsidRPr="00D9553E">
        <w:t>alle norme vigenti</w:t>
      </w:r>
      <w:proofErr w:type="gramStart"/>
      <w:r w:rsidR="0003776B" w:rsidRPr="00D9553E">
        <w:rPr>
          <w:rStyle w:val="Rimandonotaapidipagina"/>
        </w:rPr>
        <w:footnoteReference w:id="37"/>
      </w:r>
      <w:r w:rsidR="002346BA" w:rsidRPr="00D9553E">
        <w:t>;</w:t>
      </w:r>
      <w:proofErr w:type="gramEnd"/>
      <w:r w:rsidR="0092185B" w:rsidRPr="00D9553E">
        <w:t xml:space="preserve"> </w:t>
      </w:r>
      <w:r w:rsidR="00B1046F" w:rsidRPr="00D9553E">
        <w:t>dall’altro, a</w:t>
      </w:r>
      <w:r w:rsidR="00913CE4" w:rsidRPr="00D9553E">
        <w:t>lla indeterminatezza contenutistica de</w:t>
      </w:r>
      <w:r w:rsidR="00B1046F" w:rsidRPr="00D9553E">
        <w:t xml:space="preserve">gli stessi, </w:t>
      </w:r>
      <w:r w:rsidR="00A61B45" w:rsidRPr="00D9553E">
        <w:t>consustanziale alla funzione di valvola di sicurezza dell’ordinamento da far valere in situazioni emergenziali imprevedibili</w:t>
      </w:r>
      <w:r w:rsidR="00A61B45" w:rsidRPr="00D9553E">
        <w:rPr>
          <w:rStyle w:val="Rimandonotaapidipagina"/>
        </w:rPr>
        <w:footnoteReference w:id="38"/>
      </w:r>
      <w:r w:rsidR="00B1046F" w:rsidRPr="00D9553E">
        <w:t>.</w:t>
      </w:r>
      <w:r w:rsidR="00913CE4" w:rsidRPr="00D9553E">
        <w:t xml:space="preserve"> </w:t>
      </w:r>
      <w:r w:rsidR="00C57ABF" w:rsidRPr="00D9553E">
        <w:t>Tale t</w:t>
      </w:r>
      <w:r w:rsidR="000B5D95" w:rsidRPr="00D9553E">
        <w:t xml:space="preserve">ensione </w:t>
      </w:r>
      <w:r w:rsidR="00C57ABF" w:rsidRPr="00D9553E">
        <w:t>è stata</w:t>
      </w:r>
      <w:r w:rsidR="000B5D95" w:rsidRPr="00D9553E">
        <w:t xml:space="preserve"> gove</w:t>
      </w:r>
      <w:r w:rsidR="00503D4A" w:rsidRPr="00D9553E">
        <w:t xml:space="preserve">rnata </w:t>
      </w:r>
      <w:proofErr w:type="gramStart"/>
      <w:r w:rsidR="00503D4A" w:rsidRPr="00D9553E">
        <w:t>ed</w:t>
      </w:r>
      <w:proofErr w:type="gramEnd"/>
      <w:r w:rsidR="00503D4A" w:rsidRPr="00D9553E">
        <w:t xml:space="preserve"> orientata dalla Corte c</w:t>
      </w:r>
      <w:r w:rsidR="000B5D95" w:rsidRPr="00D9553E">
        <w:t>ostituzionale</w:t>
      </w:r>
      <w:r w:rsidR="005F33F5" w:rsidRPr="00D9553E">
        <w:t>,</w:t>
      </w:r>
      <w:r w:rsidR="0092185B" w:rsidRPr="00D9553E">
        <w:t xml:space="preserve"> </w:t>
      </w:r>
      <w:r w:rsidR="000B5D95" w:rsidRPr="00D9553E">
        <w:t>che da subito ha enucleato i criteri che rendono costituzionalmente legittimo l’esercizio d</w:t>
      </w:r>
      <w:r w:rsidR="00503D4A" w:rsidRPr="00D9553E">
        <w:t xml:space="preserve">i questo specifico </w:t>
      </w:r>
      <w:r w:rsidR="000B5D95" w:rsidRPr="00D9553E">
        <w:t>potere</w:t>
      </w:r>
      <w:r w:rsidR="000B5D95" w:rsidRPr="00D9553E">
        <w:rPr>
          <w:rStyle w:val="Rimandonotaapidipagina"/>
        </w:rPr>
        <w:footnoteReference w:id="39"/>
      </w:r>
      <w:r w:rsidR="00CD4247" w:rsidRPr="00D9553E">
        <w:t xml:space="preserve">. </w:t>
      </w:r>
    </w:p>
    <w:p w14:paraId="40A953ED" w14:textId="56007017" w:rsidR="00CD4247" w:rsidRPr="00D9553E" w:rsidRDefault="0074061F" w:rsidP="00E9248E">
      <w:pPr>
        <w:pStyle w:val="NormaleWeb"/>
        <w:spacing w:after="0" w:afterAutospacing="0" w:line="360" w:lineRule="auto"/>
        <w:contextualSpacing/>
        <w:jc w:val="both"/>
      </w:pPr>
      <w:r>
        <w:lastRenderedPageBreak/>
        <w:tab/>
      </w:r>
      <w:r w:rsidR="00CD4247" w:rsidRPr="00D9553E">
        <w:t>Due sono</w:t>
      </w:r>
      <w:r w:rsidR="00B014A1" w:rsidRPr="00D9553E">
        <w:t xml:space="preserve">, </w:t>
      </w:r>
      <w:proofErr w:type="gramStart"/>
      <w:r w:rsidR="00B014A1" w:rsidRPr="00D9553E">
        <w:t xml:space="preserve">come </w:t>
      </w:r>
      <w:proofErr w:type="gramEnd"/>
      <w:r w:rsidR="00B014A1" w:rsidRPr="00D9553E">
        <w:t>è noto,</w:t>
      </w:r>
      <w:r w:rsidR="00CD4247" w:rsidRPr="00D9553E">
        <w:t xml:space="preserve"> le tipologie di “ordinanze di necessità” del </w:t>
      </w:r>
      <w:r w:rsidR="005D7D85" w:rsidRPr="00D9553E">
        <w:t>S</w:t>
      </w:r>
      <w:r w:rsidR="00CD4247" w:rsidRPr="00D9553E">
        <w:t xml:space="preserve">indaco: </w:t>
      </w:r>
      <w:r w:rsidR="005F33F5" w:rsidRPr="00D9553E">
        <w:t>quel</w:t>
      </w:r>
      <w:r w:rsidR="00CD4247" w:rsidRPr="00D9553E">
        <w:t>le adottate</w:t>
      </w:r>
      <w:r w:rsidR="0092185B" w:rsidRPr="00D9553E">
        <w:t xml:space="preserve"> </w:t>
      </w:r>
      <w:r w:rsidR="005F33F5" w:rsidRPr="00D9553E">
        <w:t xml:space="preserve">nella </w:t>
      </w:r>
      <w:r w:rsidR="00CD4247" w:rsidRPr="00D9553E">
        <w:t>qual</w:t>
      </w:r>
      <w:r w:rsidR="005F33F5" w:rsidRPr="00D9553E">
        <w:t>ità di</w:t>
      </w:r>
      <w:r w:rsidR="0092185B" w:rsidRPr="00D9553E">
        <w:t xml:space="preserve"> </w:t>
      </w:r>
      <w:r w:rsidR="00CD4247" w:rsidRPr="00D9553E">
        <w:t>rappre</w:t>
      </w:r>
      <w:r w:rsidR="00B21DCE" w:rsidRPr="00D9553E">
        <w:t>sentante della comunità locale «</w:t>
      </w:r>
      <w:r w:rsidR="00CD4247" w:rsidRPr="00D9553E">
        <w:t>in caso di emergenze sanitarie o di igiene pubblica</w:t>
      </w:r>
      <w:r w:rsidR="00CD4247" w:rsidRPr="00D9553E">
        <w:rPr>
          <w:b/>
        </w:rPr>
        <w:t xml:space="preserve"> </w:t>
      </w:r>
      <w:r w:rsidR="00CD4247" w:rsidRPr="00D9553E">
        <w:t>a carattere esclusivamente locale</w:t>
      </w:r>
      <w:r w:rsidR="00B21DCE" w:rsidRPr="00D9553E">
        <w:t>»</w:t>
      </w:r>
      <w:r w:rsidR="00CD4247" w:rsidRPr="00D9553E">
        <w:rPr>
          <w:i/>
        </w:rPr>
        <w:t xml:space="preserve"> </w:t>
      </w:r>
      <w:r w:rsidR="00CD4247" w:rsidRPr="00D9553E">
        <w:t xml:space="preserve">(art. 50 </w:t>
      </w:r>
      <w:proofErr w:type="spellStart"/>
      <w:r w:rsidR="00CD4247" w:rsidRPr="00D9553E">
        <w:t>t.u.e.l</w:t>
      </w:r>
      <w:proofErr w:type="spellEnd"/>
      <w:r w:rsidR="00CD4247" w:rsidRPr="00D9553E">
        <w:t xml:space="preserve">.) </w:t>
      </w:r>
      <w:r w:rsidR="005F33F5" w:rsidRPr="00D9553E">
        <w:t>e</w:t>
      </w:r>
      <w:r w:rsidR="00CD4247" w:rsidRPr="00D9553E">
        <w:t xml:space="preserve"> quelle</w:t>
      </w:r>
      <w:r w:rsidR="0092185B" w:rsidRPr="00D9553E">
        <w:t xml:space="preserve"> </w:t>
      </w:r>
      <w:r w:rsidR="005F33F5" w:rsidRPr="00D9553E">
        <w:t>assunte</w:t>
      </w:r>
      <w:r w:rsidR="0092185B" w:rsidRPr="00D9553E">
        <w:t xml:space="preserve"> </w:t>
      </w:r>
      <w:r w:rsidR="00B21DCE" w:rsidRPr="00D9553E">
        <w:t>quale ufficiale di governo «</w:t>
      </w:r>
      <w:r w:rsidR="00CD4247" w:rsidRPr="00D9553E">
        <w:t>al fine di prevenire ed eliminare gravi pericoli che minacciano l’incolumità pubblica e la sicurezza urbana</w:t>
      </w:r>
      <w:r w:rsidR="00B21DCE" w:rsidRPr="00D9553E">
        <w:t>»</w:t>
      </w:r>
      <w:r w:rsidR="00CD4247" w:rsidRPr="00D9553E">
        <w:t xml:space="preserve"> (art </w:t>
      </w:r>
      <w:proofErr w:type="gramStart"/>
      <w:r w:rsidR="00CD4247" w:rsidRPr="00D9553E">
        <w:t>54</w:t>
      </w:r>
      <w:proofErr w:type="gramEnd"/>
      <w:r w:rsidR="00CD4247" w:rsidRPr="00D9553E">
        <w:t xml:space="preserve">, comma 4 </w:t>
      </w:r>
      <w:proofErr w:type="spellStart"/>
      <w:r w:rsidR="00CD4247" w:rsidRPr="00D9553E">
        <w:t>t.u.e.l</w:t>
      </w:r>
      <w:proofErr w:type="spellEnd"/>
      <w:r w:rsidR="00CD4247" w:rsidRPr="00D9553E">
        <w:t>.).</w:t>
      </w:r>
    </w:p>
    <w:p w14:paraId="350CF4D7" w14:textId="266B79D1" w:rsidR="005445F7" w:rsidRPr="00D9553E" w:rsidRDefault="0074061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È</w:t>
      </w:r>
      <w:r w:rsidR="007D6049" w:rsidRPr="00D9553E">
        <w:rPr>
          <w:rFonts w:ascii="Times New Roman" w:hAnsi="Times New Roman" w:cs="Times New Roman"/>
          <w:sz w:val="24"/>
          <w:szCs w:val="24"/>
        </w:rPr>
        <w:t xml:space="preserve"> il caso di </w:t>
      </w:r>
      <w:proofErr w:type="gramStart"/>
      <w:r w:rsidR="007D6049" w:rsidRPr="00D9553E">
        <w:rPr>
          <w:rFonts w:ascii="Times New Roman" w:hAnsi="Times New Roman" w:cs="Times New Roman"/>
          <w:sz w:val="24"/>
          <w:szCs w:val="24"/>
        </w:rPr>
        <w:t>ricordare,</w:t>
      </w:r>
      <w:proofErr w:type="gramEnd"/>
      <w:r w:rsidR="007D6049" w:rsidRPr="00D9553E">
        <w:rPr>
          <w:rFonts w:ascii="Times New Roman" w:hAnsi="Times New Roman" w:cs="Times New Roman"/>
          <w:sz w:val="24"/>
          <w:szCs w:val="24"/>
        </w:rPr>
        <w:t xml:space="preserve"> però, che l’art. 54, comma 4, </w:t>
      </w:r>
      <w:proofErr w:type="spellStart"/>
      <w:r w:rsidR="007D6049" w:rsidRPr="00D9553E">
        <w:rPr>
          <w:rFonts w:ascii="Times New Roman" w:hAnsi="Times New Roman" w:cs="Times New Roman"/>
          <w:sz w:val="24"/>
          <w:szCs w:val="24"/>
        </w:rPr>
        <w:t>t.u.e.l</w:t>
      </w:r>
      <w:proofErr w:type="spellEnd"/>
      <w:r w:rsidR="007D6049" w:rsidRPr="00D9553E">
        <w:rPr>
          <w:rFonts w:ascii="Times New Roman" w:hAnsi="Times New Roman" w:cs="Times New Roman"/>
          <w:sz w:val="24"/>
          <w:szCs w:val="24"/>
        </w:rPr>
        <w:t>. (come modificato nel 2008</w:t>
      </w:r>
      <w:proofErr w:type="gramStart"/>
      <w:r w:rsidR="007D6049" w:rsidRPr="00D9553E">
        <w:rPr>
          <w:rFonts w:ascii="Times New Roman" w:hAnsi="Times New Roman" w:cs="Times New Roman"/>
          <w:sz w:val="24"/>
          <w:szCs w:val="24"/>
        </w:rPr>
        <w:t>)</w:t>
      </w:r>
      <w:proofErr w:type="gramEnd"/>
      <w:r w:rsidR="006017A1" w:rsidRPr="00D9553E">
        <w:rPr>
          <w:rStyle w:val="Rimandonotaapidipagina"/>
          <w:rFonts w:ascii="Times New Roman" w:hAnsi="Times New Roman" w:cs="Times New Roman"/>
          <w:sz w:val="24"/>
          <w:szCs w:val="24"/>
        </w:rPr>
        <w:footnoteReference w:id="40"/>
      </w:r>
      <w:r w:rsidR="007D6049" w:rsidRPr="00D9553E">
        <w:rPr>
          <w:rFonts w:ascii="Times New Roman" w:hAnsi="Times New Roman" w:cs="Times New Roman"/>
          <w:sz w:val="24"/>
          <w:szCs w:val="24"/>
        </w:rPr>
        <w:t xml:space="preserve"> </w:t>
      </w:r>
      <w:proofErr w:type="gramStart"/>
      <w:r w:rsidR="007D6049" w:rsidRPr="00D9553E">
        <w:rPr>
          <w:rFonts w:ascii="Times New Roman" w:hAnsi="Times New Roman" w:cs="Times New Roman"/>
          <w:sz w:val="24"/>
          <w:szCs w:val="24"/>
        </w:rPr>
        <w:t>prevedeva</w:t>
      </w:r>
      <w:proofErr w:type="gramEnd"/>
      <w:r w:rsidR="006017A1" w:rsidRPr="00D9553E">
        <w:rPr>
          <w:rFonts w:ascii="Times New Roman" w:hAnsi="Times New Roman" w:cs="Times New Roman"/>
          <w:sz w:val="24"/>
          <w:szCs w:val="24"/>
        </w:rPr>
        <w:t>,</w:t>
      </w:r>
      <w:r w:rsidR="007D6049" w:rsidRPr="00D9553E">
        <w:rPr>
          <w:rFonts w:ascii="Times New Roman" w:hAnsi="Times New Roman" w:cs="Times New Roman"/>
          <w:sz w:val="24"/>
          <w:szCs w:val="24"/>
        </w:rPr>
        <w:t xml:space="preserve"> accanto alle ordinanze contingibili ed urgenti, anche le c</w:t>
      </w:r>
      <w:r w:rsidR="003A396D" w:rsidRPr="00D9553E">
        <w:rPr>
          <w:rFonts w:ascii="Times New Roman" w:hAnsi="Times New Roman" w:cs="Times New Roman"/>
          <w:sz w:val="24"/>
          <w:szCs w:val="24"/>
        </w:rPr>
        <w:t>d.</w:t>
      </w:r>
      <w:r w:rsidR="0092185B" w:rsidRPr="00D9553E">
        <w:rPr>
          <w:rFonts w:ascii="Times New Roman" w:hAnsi="Times New Roman" w:cs="Times New Roman"/>
          <w:sz w:val="24"/>
          <w:szCs w:val="24"/>
        </w:rPr>
        <w:t xml:space="preserve"> </w:t>
      </w:r>
      <w:r w:rsidR="007D6049" w:rsidRPr="00D9553E">
        <w:rPr>
          <w:rFonts w:ascii="Times New Roman" w:hAnsi="Times New Roman" w:cs="Times New Roman"/>
          <w:sz w:val="24"/>
          <w:szCs w:val="24"/>
        </w:rPr>
        <w:t>ordinanze “di ordinaria amministrazione”</w:t>
      </w:r>
      <w:r w:rsidR="003A396D" w:rsidRPr="00D9553E">
        <w:rPr>
          <w:rFonts w:ascii="Times New Roman" w:hAnsi="Times New Roman" w:cs="Times New Roman"/>
          <w:sz w:val="24"/>
          <w:szCs w:val="24"/>
        </w:rPr>
        <w:t>,</w:t>
      </w:r>
      <w:r w:rsidR="0092185B" w:rsidRPr="00D9553E">
        <w:rPr>
          <w:rFonts w:ascii="Times New Roman" w:hAnsi="Times New Roman" w:cs="Times New Roman"/>
          <w:sz w:val="24"/>
          <w:szCs w:val="24"/>
        </w:rPr>
        <w:t xml:space="preserve"> </w:t>
      </w:r>
      <w:r w:rsidR="003A396D" w:rsidRPr="00D9553E">
        <w:rPr>
          <w:rFonts w:ascii="Times New Roman" w:hAnsi="Times New Roman" w:cs="Times New Roman"/>
          <w:sz w:val="24"/>
          <w:szCs w:val="24"/>
        </w:rPr>
        <w:t>c</w:t>
      </w:r>
      <w:r w:rsidR="007D6049" w:rsidRPr="00D9553E">
        <w:rPr>
          <w:rFonts w:ascii="Times New Roman" w:hAnsi="Times New Roman" w:cs="Times New Roman"/>
          <w:sz w:val="24"/>
          <w:szCs w:val="24"/>
        </w:rPr>
        <w:t>on l</w:t>
      </w:r>
      <w:r w:rsidR="003A396D" w:rsidRPr="00D9553E">
        <w:rPr>
          <w:rFonts w:ascii="Times New Roman" w:hAnsi="Times New Roman" w:cs="Times New Roman"/>
          <w:sz w:val="24"/>
          <w:szCs w:val="24"/>
        </w:rPr>
        <w:t>e</w:t>
      </w:r>
      <w:r w:rsidR="0092185B" w:rsidRPr="00D9553E">
        <w:rPr>
          <w:rFonts w:ascii="Times New Roman" w:hAnsi="Times New Roman" w:cs="Times New Roman"/>
          <w:sz w:val="24"/>
          <w:szCs w:val="24"/>
        </w:rPr>
        <w:t xml:space="preserve"> </w:t>
      </w:r>
      <w:r w:rsidR="003A396D" w:rsidRPr="00D9553E">
        <w:rPr>
          <w:rFonts w:ascii="Times New Roman" w:hAnsi="Times New Roman" w:cs="Times New Roman"/>
          <w:sz w:val="24"/>
          <w:szCs w:val="24"/>
        </w:rPr>
        <w:t xml:space="preserve">quali, </w:t>
      </w:r>
      <w:r w:rsidR="007D6049" w:rsidRPr="00D9553E">
        <w:rPr>
          <w:rFonts w:ascii="Times New Roman" w:hAnsi="Times New Roman" w:cs="Times New Roman"/>
          <w:sz w:val="24"/>
          <w:szCs w:val="24"/>
        </w:rPr>
        <w:t xml:space="preserve">mediante il richiamo a nozioni </w:t>
      </w:r>
      <w:r w:rsidR="003A396D" w:rsidRPr="00D9553E">
        <w:rPr>
          <w:rFonts w:ascii="Times New Roman" w:hAnsi="Times New Roman" w:cs="Times New Roman"/>
          <w:sz w:val="24"/>
          <w:szCs w:val="24"/>
        </w:rPr>
        <w:t>“</w:t>
      </w:r>
      <w:r w:rsidR="007D6049" w:rsidRPr="00D9553E">
        <w:rPr>
          <w:rFonts w:ascii="Times New Roman" w:hAnsi="Times New Roman" w:cs="Times New Roman"/>
          <w:sz w:val="24"/>
          <w:szCs w:val="24"/>
        </w:rPr>
        <w:t>aperte</w:t>
      </w:r>
      <w:r w:rsidR="003A396D" w:rsidRPr="00D9553E">
        <w:rPr>
          <w:rFonts w:ascii="Times New Roman" w:hAnsi="Times New Roman" w:cs="Times New Roman"/>
          <w:sz w:val="24"/>
          <w:szCs w:val="24"/>
        </w:rPr>
        <w:t>”</w:t>
      </w:r>
      <w:r w:rsidR="0092185B" w:rsidRPr="00D9553E">
        <w:rPr>
          <w:rFonts w:ascii="Times New Roman" w:hAnsi="Times New Roman" w:cs="Times New Roman"/>
          <w:sz w:val="24"/>
          <w:szCs w:val="24"/>
        </w:rPr>
        <w:t xml:space="preserve"> </w:t>
      </w:r>
      <w:r w:rsidR="003A396D" w:rsidRPr="00D9553E">
        <w:rPr>
          <w:rFonts w:ascii="Times New Roman" w:hAnsi="Times New Roman" w:cs="Times New Roman"/>
          <w:sz w:val="24"/>
          <w:szCs w:val="24"/>
        </w:rPr>
        <w:t>o “concetti giuridici indeterminati”</w:t>
      </w:r>
      <w:r w:rsidR="007D6049" w:rsidRPr="00D9553E">
        <w:rPr>
          <w:rFonts w:ascii="Times New Roman" w:hAnsi="Times New Roman" w:cs="Times New Roman"/>
          <w:sz w:val="24"/>
          <w:szCs w:val="24"/>
        </w:rPr>
        <w:t>(“incolumità pubblica” e “sicurezza urbana”</w:t>
      </w:r>
      <w:r w:rsidR="007D6049" w:rsidRPr="00D9553E">
        <w:rPr>
          <w:rStyle w:val="Rimandonotaapidipagina"/>
          <w:rFonts w:ascii="Times New Roman" w:hAnsi="Times New Roman" w:cs="Times New Roman"/>
          <w:sz w:val="24"/>
          <w:szCs w:val="24"/>
        </w:rPr>
        <w:footnoteReference w:id="41"/>
      </w:r>
      <w:proofErr w:type="gramStart"/>
      <w:r w:rsidR="007D6049" w:rsidRPr="00D9553E">
        <w:rPr>
          <w:rFonts w:ascii="Times New Roman" w:hAnsi="Times New Roman" w:cs="Times New Roman"/>
          <w:sz w:val="24"/>
          <w:szCs w:val="24"/>
        </w:rPr>
        <w:t>)</w:t>
      </w:r>
      <w:r w:rsidR="00244808" w:rsidRPr="00D9553E">
        <w:rPr>
          <w:rFonts w:ascii="Times New Roman" w:hAnsi="Times New Roman" w:cs="Times New Roman"/>
          <w:sz w:val="24"/>
          <w:szCs w:val="24"/>
        </w:rPr>
        <w:t>,</w:t>
      </w:r>
      <w:proofErr w:type="gramEnd"/>
      <w:r w:rsidR="003A396D" w:rsidRPr="00D9553E">
        <w:rPr>
          <w:rFonts w:ascii="Times New Roman" w:hAnsi="Times New Roman" w:cs="Times New Roman"/>
          <w:sz w:val="24"/>
          <w:szCs w:val="24"/>
        </w:rPr>
        <w:t xml:space="preserve"> si</w:t>
      </w:r>
      <w:r w:rsidR="0092185B" w:rsidRPr="00D9553E">
        <w:rPr>
          <w:rFonts w:ascii="Times New Roman" w:hAnsi="Times New Roman" w:cs="Times New Roman"/>
          <w:sz w:val="24"/>
          <w:szCs w:val="24"/>
        </w:rPr>
        <w:t xml:space="preserve"> </w:t>
      </w:r>
      <w:r w:rsidR="007D6049" w:rsidRPr="00D9553E">
        <w:rPr>
          <w:rFonts w:ascii="Times New Roman" w:hAnsi="Times New Roman" w:cs="Times New Roman"/>
          <w:sz w:val="24"/>
          <w:szCs w:val="24"/>
        </w:rPr>
        <w:t>affida</w:t>
      </w:r>
      <w:r w:rsidR="003A396D" w:rsidRPr="00D9553E">
        <w:rPr>
          <w:rFonts w:ascii="Times New Roman" w:hAnsi="Times New Roman" w:cs="Times New Roman"/>
          <w:sz w:val="24"/>
          <w:szCs w:val="24"/>
        </w:rPr>
        <w:t>va</w:t>
      </w:r>
      <w:r w:rsidR="0092185B" w:rsidRPr="00D9553E">
        <w:rPr>
          <w:rFonts w:ascii="Times New Roman" w:hAnsi="Times New Roman" w:cs="Times New Roman"/>
          <w:sz w:val="24"/>
          <w:szCs w:val="24"/>
        </w:rPr>
        <w:t xml:space="preserve"> </w:t>
      </w:r>
      <w:r w:rsidR="007D6049" w:rsidRPr="00D9553E">
        <w:rPr>
          <w:rFonts w:ascii="Times New Roman" w:hAnsi="Times New Roman" w:cs="Times New Roman"/>
          <w:sz w:val="24"/>
          <w:szCs w:val="24"/>
        </w:rPr>
        <w:t>al Sindaco un’ampia discrezionalità nell’utilizzo del potere</w:t>
      </w:r>
      <w:r w:rsidR="003A396D" w:rsidRPr="00D9553E">
        <w:rPr>
          <w:rFonts w:ascii="Times New Roman" w:hAnsi="Times New Roman" w:cs="Times New Roman"/>
          <w:i/>
          <w:sz w:val="24"/>
          <w:szCs w:val="24"/>
        </w:rPr>
        <w:t xml:space="preserve"> </w:t>
      </w:r>
      <w:r w:rsidR="003A396D" w:rsidRPr="009B54E1">
        <w:rPr>
          <w:rFonts w:ascii="Times New Roman" w:hAnsi="Times New Roman" w:cs="Times New Roman"/>
          <w:sz w:val="24"/>
          <w:szCs w:val="24"/>
        </w:rPr>
        <w:t xml:space="preserve">corrispondente </w:t>
      </w:r>
      <w:r w:rsidR="009B54E1" w:rsidRPr="009B54E1">
        <w:rPr>
          <w:rFonts w:ascii="Times New Roman" w:hAnsi="Times New Roman" w:cs="Times New Roman"/>
          <w:sz w:val="24"/>
          <w:szCs w:val="24"/>
        </w:rPr>
        <w:t>-a</w:t>
      </w:r>
      <w:r w:rsidR="007D6049" w:rsidRPr="009B54E1">
        <w:rPr>
          <w:rFonts w:ascii="Times New Roman" w:hAnsi="Times New Roman" w:cs="Times New Roman"/>
          <w:sz w:val="24"/>
          <w:szCs w:val="24"/>
        </w:rPr>
        <w:t>nche al di fuori di situazioni connotate da necessità ed urgenza</w:t>
      </w:r>
      <w:r w:rsidR="009B54E1">
        <w:rPr>
          <w:rFonts w:ascii="Times New Roman" w:hAnsi="Times New Roman" w:cs="Times New Roman"/>
          <w:sz w:val="24"/>
          <w:szCs w:val="24"/>
        </w:rPr>
        <w:t xml:space="preserve">- </w:t>
      </w:r>
      <w:r w:rsidR="007D6049" w:rsidRPr="009B54E1">
        <w:rPr>
          <w:rFonts w:ascii="Times New Roman" w:hAnsi="Times New Roman" w:cs="Times New Roman"/>
          <w:sz w:val="24"/>
          <w:szCs w:val="24"/>
        </w:rPr>
        <w:t>con evidente rischio di</w:t>
      </w:r>
      <w:r w:rsidR="007D6049" w:rsidRPr="00D9553E">
        <w:rPr>
          <w:rFonts w:ascii="Times New Roman" w:hAnsi="Times New Roman" w:cs="Times New Roman"/>
          <w:sz w:val="24"/>
          <w:szCs w:val="24"/>
        </w:rPr>
        <w:t xml:space="preserve"> compressione del </w:t>
      </w:r>
      <w:r w:rsidR="00630807" w:rsidRPr="00D9553E">
        <w:rPr>
          <w:rFonts w:ascii="Times New Roman" w:hAnsi="Times New Roman" w:cs="Times New Roman"/>
          <w:sz w:val="24"/>
          <w:szCs w:val="24"/>
        </w:rPr>
        <w:t>principio</w:t>
      </w:r>
      <w:r w:rsidR="007D6049" w:rsidRPr="00D9553E">
        <w:rPr>
          <w:rFonts w:ascii="Times New Roman" w:hAnsi="Times New Roman" w:cs="Times New Roman"/>
          <w:sz w:val="24"/>
          <w:szCs w:val="24"/>
        </w:rPr>
        <w:t xml:space="preserve"> di legalità. Proprio per circoscrivere la portata di tale discrezionalità</w:t>
      </w:r>
      <w:r w:rsidR="00244808" w:rsidRPr="00D9553E">
        <w:rPr>
          <w:rFonts w:ascii="Times New Roman" w:hAnsi="Times New Roman" w:cs="Times New Roman"/>
          <w:sz w:val="24"/>
          <w:szCs w:val="24"/>
        </w:rPr>
        <w:t>,</w:t>
      </w:r>
      <w:r w:rsidR="007D6049" w:rsidRPr="00D9553E">
        <w:rPr>
          <w:rFonts w:ascii="Times New Roman" w:hAnsi="Times New Roman" w:cs="Times New Roman"/>
          <w:sz w:val="24"/>
          <w:szCs w:val="24"/>
        </w:rPr>
        <w:t xml:space="preserve"> nel testo</w:t>
      </w:r>
      <w:r w:rsidR="005445F7" w:rsidRPr="00D9553E">
        <w:rPr>
          <w:rFonts w:ascii="Times New Roman" w:hAnsi="Times New Roman" w:cs="Times New Roman"/>
          <w:sz w:val="24"/>
          <w:szCs w:val="24"/>
        </w:rPr>
        <w:t xml:space="preserve"> del d.lgs. 267/2000,</w:t>
      </w:r>
      <w:r w:rsidR="007D6049" w:rsidRPr="00D9553E">
        <w:rPr>
          <w:rFonts w:ascii="Times New Roman" w:hAnsi="Times New Roman" w:cs="Times New Roman"/>
          <w:sz w:val="24"/>
          <w:szCs w:val="24"/>
        </w:rPr>
        <w:t xml:space="preserve"> novellato nel 2008</w:t>
      </w:r>
      <w:r w:rsidR="005445F7" w:rsidRPr="00D9553E">
        <w:rPr>
          <w:rFonts w:ascii="Times New Roman" w:hAnsi="Times New Roman" w:cs="Times New Roman"/>
          <w:sz w:val="24"/>
          <w:szCs w:val="24"/>
        </w:rPr>
        <w:t>,</w:t>
      </w:r>
      <w:r w:rsidR="007D6049" w:rsidRPr="00D9553E">
        <w:rPr>
          <w:rFonts w:ascii="Times New Roman" w:hAnsi="Times New Roman" w:cs="Times New Roman"/>
          <w:sz w:val="24"/>
          <w:szCs w:val="24"/>
        </w:rPr>
        <w:t xml:space="preserve"> </w:t>
      </w:r>
      <w:r w:rsidR="00FB0E42" w:rsidRPr="00D9553E">
        <w:rPr>
          <w:rFonts w:ascii="Times New Roman" w:hAnsi="Times New Roman" w:cs="Times New Roman"/>
          <w:sz w:val="24"/>
          <w:szCs w:val="24"/>
        </w:rPr>
        <w:t xml:space="preserve">è </w:t>
      </w:r>
      <w:r w:rsidR="007D6049" w:rsidRPr="00D9553E">
        <w:rPr>
          <w:rFonts w:ascii="Times New Roman" w:hAnsi="Times New Roman" w:cs="Times New Roman"/>
          <w:sz w:val="24"/>
          <w:szCs w:val="24"/>
        </w:rPr>
        <w:t xml:space="preserve">stato introdotto il comma </w:t>
      </w:r>
      <w:proofErr w:type="gramStart"/>
      <w:r w:rsidR="007D6049" w:rsidRPr="00D9553E">
        <w:rPr>
          <w:rFonts w:ascii="Times New Roman" w:hAnsi="Times New Roman" w:cs="Times New Roman"/>
          <w:sz w:val="24"/>
          <w:szCs w:val="24"/>
        </w:rPr>
        <w:t>4</w:t>
      </w:r>
      <w:proofErr w:type="gramEnd"/>
      <w:r w:rsidR="007D6049" w:rsidRPr="00D9553E">
        <w:rPr>
          <w:rFonts w:ascii="Times New Roman" w:hAnsi="Times New Roman" w:cs="Times New Roman"/>
          <w:sz w:val="24"/>
          <w:szCs w:val="24"/>
        </w:rPr>
        <w:t xml:space="preserve"> </w:t>
      </w:r>
      <w:r w:rsidR="007D6049" w:rsidRPr="00D9553E">
        <w:rPr>
          <w:rFonts w:ascii="Times New Roman" w:hAnsi="Times New Roman" w:cs="Times New Roman"/>
          <w:i/>
          <w:sz w:val="24"/>
          <w:szCs w:val="24"/>
        </w:rPr>
        <w:t xml:space="preserve">bis </w:t>
      </w:r>
      <w:r w:rsidR="00FB0E42" w:rsidRPr="00D9553E">
        <w:rPr>
          <w:rFonts w:ascii="Times New Roman" w:hAnsi="Times New Roman" w:cs="Times New Roman"/>
          <w:sz w:val="24"/>
          <w:szCs w:val="24"/>
        </w:rPr>
        <w:t>che rinvia ad un d</w:t>
      </w:r>
      <w:r w:rsidR="007D6049" w:rsidRPr="00D9553E">
        <w:rPr>
          <w:rFonts w:ascii="Times New Roman" w:hAnsi="Times New Roman" w:cs="Times New Roman"/>
          <w:sz w:val="24"/>
          <w:szCs w:val="24"/>
        </w:rPr>
        <w:t>ecreto del Ministero dell’Interno la definizione di “incolumità pubblica e sicurezza urbana”</w:t>
      </w:r>
      <w:r w:rsidR="007D6049" w:rsidRPr="00D9553E">
        <w:rPr>
          <w:rStyle w:val="Rimandonotaapidipagina"/>
          <w:rFonts w:ascii="Times New Roman" w:hAnsi="Times New Roman" w:cs="Times New Roman"/>
          <w:sz w:val="24"/>
          <w:szCs w:val="24"/>
        </w:rPr>
        <w:footnoteReference w:id="42"/>
      </w:r>
      <w:r w:rsidR="007D6049" w:rsidRPr="00D9553E">
        <w:rPr>
          <w:rFonts w:ascii="Times New Roman" w:hAnsi="Times New Roman" w:cs="Times New Roman"/>
          <w:sz w:val="24"/>
          <w:szCs w:val="24"/>
        </w:rPr>
        <w:t xml:space="preserve">. </w:t>
      </w:r>
    </w:p>
    <w:p w14:paraId="6EA6BF94" w14:textId="729FE717" w:rsidR="00A46668" w:rsidRPr="00D9553E" w:rsidRDefault="0074061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D6049" w:rsidRPr="00D9553E">
        <w:rPr>
          <w:rFonts w:ascii="Times New Roman" w:hAnsi="Times New Roman" w:cs="Times New Roman"/>
          <w:sz w:val="24"/>
          <w:szCs w:val="24"/>
        </w:rPr>
        <w:t>Tuttavia</w:t>
      </w:r>
      <w:r w:rsidR="00244808" w:rsidRPr="00D9553E">
        <w:rPr>
          <w:rFonts w:ascii="Times New Roman" w:hAnsi="Times New Roman" w:cs="Times New Roman"/>
          <w:sz w:val="24"/>
          <w:szCs w:val="24"/>
        </w:rPr>
        <w:t>,</w:t>
      </w:r>
      <w:r w:rsidR="007D6049" w:rsidRPr="00D9553E">
        <w:rPr>
          <w:rFonts w:ascii="Times New Roman" w:hAnsi="Times New Roman" w:cs="Times New Roman"/>
          <w:sz w:val="24"/>
          <w:szCs w:val="24"/>
        </w:rPr>
        <w:t xml:space="preserve"> negli anni</w:t>
      </w:r>
      <w:r w:rsidR="005445F7" w:rsidRPr="00D9553E">
        <w:rPr>
          <w:rFonts w:ascii="Times New Roman" w:hAnsi="Times New Roman" w:cs="Times New Roman"/>
          <w:sz w:val="24"/>
          <w:szCs w:val="24"/>
        </w:rPr>
        <w:t>,</w:t>
      </w:r>
      <w:r w:rsidR="007D6049" w:rsidRPr="00D9553E">
        <w:rPr>
          <w:rFonts w:ascii="Times New Roman" w:hAnsi="Times New Roman" w:cs="Times New Roman"/>
          <w:sz w:val="24"/>
          <w:szCs w:val="24"/>
        </w:rPr>
        <w:t xml:space="preserve"> si era è registrato un crescente ricorso allo strumento dell'ordinanza per far fronte a fenomeni sociali nuovi o percepiti come fonte di possibile pregiudizio per l’incolumità pubblica e la sicurezza urbana</w:t>
      </w:r>
      <w:r w:rsidR="007D6049" w:rsidRPr="00D9553E">
        <w:rPr>
          <w:rStyle w:val="Rimandonotaapidipagina"/>
          <w:rFonts w:ascii="Times New Roman" w:hAnsi="Times New Roman" w:cs="Times New Roman"/>
          <w:sz w:val="24"/>
          <w:szCs w:val="24"/>
        </w:rPr>
        <w:footnoteReference w:id="43"/>
      </w:r>
      <w:r w:rsidR="00FB0E42" w:rsidRPr="00D9553E">
        <w:rPr>
          <w:rFonts w:ascii="Times New Roman" w:hAnsi="Times New Roman" w:cs="Times New Roman"/>
          <w:sz w:val="24"/>
          <w:szCs w:val="24"/>
        </w:rPr>
        <w:t xml:space="preserve">. </w:t>
      </w:r>
    </w:p>
    <w:p w14:paraId="3B058A8F" w14:textId="38D2ECA4" w:rsidR="007D6049" w:rsidRPr="00D9553E" w:rsidRDefault="0074061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A46668" w:rsidRPr="00D9553E">
        <w:rPr>
          <w:rFonts w:ascii="Times New Roman" w:hAnsi="Times New Roman" w:cs="Times New Roman"/>
          <w:sz w:val="24"/>
          <w:szCs w:val="24"/>
        </w:rPr>
        <w:t xml:space="preserve">A tale interpretazione </w:t>
      </w:r>
      <w:proofErr w:type="gramStart"/>
      <w:r w:rsidR="00A46668" w:rsidRPr="00D9553E">
        <w:rPr>
          <w:rFonts w:ascii="Times New Roman" w:hAnsi="Times New Roman" w:cs="Times New Roman"/>
          <w:sz w:val="24"/>
          <w:szCs w:val="24"/>
        </w:rPr>
        <w:t>ed</w:t>
      </w:r>
      <w:proofErr w:type="gramEnd"/>
      <w:r w:rsidR="00A46668" w:rsidRPr="00D9553E">
        <w:rPr>
          <w:rFonts w:ascii="Times New Roman" w:hAnsi="Times New Roman" w:cs="Times New Roman"/>
          <w:sz w:val="24"/>
          <w:szCs w:val="24"/>
        </w:rPr>
        <w:t xml:space="preserve"> applicazione</w:t>
      </w:r>
      <w:r w:rsidR="0092185B" w:rsidRPr="00D9553E">
        <w:rPr>
          <w:rFonts w:ascii="Times New Roman" w:hAnsi="Times New Roman" w:cs="Times New Roman"/>
          <w:sz w:val="24"/>
          <w:szCs w:val="24"/>
        </w:rPr>
        <w:t xml:space="preserve"> </w:t>
      </w:r>
      <w:r w:rsidR="00A46668" w:rsidRPr="00D9553E">
        <w:rPr>
          <w:rFonts w:ascii="Times New Roman" w:hAnsi="Times New Roman" w:cs="Times New Roman"/>
          <w:sz w:val="24"/>
          <w:szCs w:val="24"/>
        </w:rPr>
        <w:t>estensiva e, per certi aspetti, abusiva dell’ambito di esercizio di un potere sindacale di ordinanza</w:t>
      </w:r>
      <w:r w:rsidR="0092185B" w:rsidRPr="00D9553E">
        <w:rPr>
          <w:rFonts w:ascii="Times New Roman" w:hAnsi="Times New Roman" w:cs="Times New Roman"/>
          <w:sz w:val="24"/>
          <w:szCs w:val="24"/>
        </w:rPr>
        <w:t xml:space="preserve"> </w:t>
      </w:r>
      <w:r w:rsidR="00A46668" w:rsidRPr="00D9553E">
        <w:rPr>
          <w:rFonts w:ascii="Times New Roman" w:hAnsi="Times New Roman" w:cs="Times New Roman"/>
          <w:i/>
          <w:sz w:val="24"/>
          <w:szCs w:val="24"/>
        </w:rPr>
        <w:t xml:space="preserve">extra </w:t>
      </w:r>
      <w:proofErr w:type="spellStart"/>
      <w:r w:rsidR="00A46668" w:rsidRPr="00D9553E">
        <w:rPr>
          <w:rFonts w:ascii="Times New Roman" w:hAnsi="Times New Roman" w:cs="Times New Roman"/>
          <w:i/>
          <w:sz w:val="24"/>
          <w:szCs w:val="24"/>
        </w:rPr>
        <w:t>ordinem</w:t>
      </w:r>
      <w:proofErr w:type="spellEnd"/>
      <w:r w:rsidR="00A46668" w:rsidRPr="00D9553E">
        <w:rPr>
          <w:rFonts w:ascii="Times New Roman" w:hAnsi="Times New Roman" w:cs="Times New Roman"/>
          <w:sz w:val="24"/>
          <w:szCs w:val="24"/>
        </w:rPr>
        <w:t xml:space="preserve"> utilizzato per governare situazioni viceversa caratterizzate da profili di ordinarietà nell’amministrazione, l</w:t>
      </w:r>
      <w:r w:rsidR="00FB0E42" w:rsidRPr="00D9553E">
        <w:rPr>
          <w:rFonts w:ascii="Times New Roman" w:hAnsi="Times New Roman" w:cs="Times New Roman"/>
          <w:sz w:val="24"/>
          <w:szCs w:val="24"/>
        </w:rPr>
        <w:t>a Corte c</w:t>
      </w:r>
      <w:r w:rsidR="007D6049" w:rsidRPr="00D9553E">
        <w:rPr>
          <w:rFonts w:ascii="Times New Roman" w:hAnsi="Times New Roman" w:cs="Times New Roman"/>
          <w:sz w:val="24"/>
          <w:szCs w:val="24"/>
        </w:rPr>
        <w:t>os</w:t>
      </w:r>
      <w:r w:rsidR="008F4D6C" w:rsidRPr="00D9553E">
        <w:rPr>
          <w:rFonts w:ascii="Times New Roman" w:hAnsi="Times New Roman" w:cs="Times New Roman"/>
          <w:sz w:val="24"/>
          <w:szCs w:val="24"/>
        </w:rPr>
        <w:t>tituzionale</w:t>
      </w:r>
      <w:r w:rsidR="00E33F19" w:rsidRPr="00D9553E">
        <w:rPr>
          <w:rFonts w:ascii="Times New Roman" w:hAnsi="Times New Roman" w:cs="Times New Roman"/>
          <w:sz w:val="24"/>
          <w:szCs w:val="24"/>
        </w:rPr>
        <w:t xml:space="preserve"> ha inteso </w:t>
      </w:r>
      <w:r w:rsidR="00D359DF" w:rsidRPr="00D9553E">
        <w:rPr>
          <w:rFonts w:ascii="Times New Roman" w:hAnsi="Times New Roman" w:cs="Times New Roman"/>
          <w:sz w:val="24"/>
          <w:szCs w:val="24"/>
        </w:rPr>
        <w:t>porre una battuta d’arresto:</w:t>
      </w:r>
      <w:r w:rsidR="008F4D6C" w:rsidRPr="00D9553E">
        <w:rPr>
          <w:rFonts w:ascii="Times New Roman" w:hAnsi="Times New Roman" w:cs="Times New Roman"/>
          <w:sz w:val="24"/>
          <w:szCs w:val="24"/>
        </w:rPr>
        <w:t xml:space="preserve"> con</w:t>
      </w:r>
      <w:r w:rsidR="0092185B" w:rsidRPr="00D9553E">
        <w:rPr>
          <w:rFonts w:ascii="Times New Roman" w:hAnsi="Times New Roman" w:cs="Times New Roman"/>
          <w:sz w:val="24"/>
          <w:szCs w:val="24"/>
        </w:rPr>
        <w:t xml:space="preserve"> </w:t>
      </w:r>
      <w:r w:rsidR="008F4D6C" w:rsidRPr="00D9553E">
        <w:rPr>
          <w:rFonts w:ascii="Times New Roman" w:hAnsi="Times New Roman" w:cs="Times New Roman"/>
          <w:sz w:val="24"/>
          <w:szCs w:val="24"/>
        </w:rPr>
        <w:t xml:space="preserve">sentenza 7 aprile </w:t>
      </w:r>
      <w:r w:rsidR="007D6049" w:rsidRPr="00D9553E">
        <w:rPr>
          <w:rFonts w:ascii="Times New Roman" w:hAnsi="Times New Roman" w:cs="Times New Roman"/>
          <w:sz w:val="24"/>
          <w:szCs w:val="24"/>
        </w:rPr>
        <w:t>2011</w:t>
      </w:r>
      <w:r w:rsidR="008F4D6C" w:rsidRPr="00D9553E">
        <w:rPr>
          <w:rFonts w:ascii="Times New Roman" w:hAnsi="Times New Roman" w:cs="Times New Roman"/>
          <w:sz w:val="24"/>
          <w:szCs w:val="24"/>
        </w:rPr>
        <w:t>, n. 115</w:t>
      </w:r>
      <w:r w:rsidR="008F4D6C" w:rsidRPr="00D9553E">
        <w:rPr>
          <w:rStyle w:val="Rimandonotaapidipagina"/>
          <w:rFonts w:ascii="Times New Roman" w:hAnsi="Times New Roman" w:cs="Times New Roman"/>
          <w:sz w:val="24"/>
          <w:szCs w:val="24"/>
        </w:rPr>
        <w:footnoteReference w:id="44"/>
      </w:r>
      <w:proofErr w:type="gramStart"/>
      <w:r w:rsidR="006B7E1F">
        <w:rPr>
          <w:rFonts w:ascii="Times New Roman" w:hAnsi="Times New Roman" w:cs="Times New Roman"/>
          <w:sz w:val="24"/>
          <w:szCs w:val="24"/>
        </w:rPr>
        <w:t>,</w:t>
      </w:r>
      <w:r w:rsidR="007D6049" w:rsidRPr="00D9553E">
        <w:rPr>
          <w:rFonts w:ascii="Times New Roman" w:hAnsi="Times New Roman" w:cs="Times New Roman"/>
          <w:sz w:val="24"/>
          <w:szCs w:val="24"/>
        </w:rPr>
        <w:t xml:space="preserve"> </w:t>
      </w:r>
      <w:proofErr w:type="gramEnd"/>
      <w:r w:rsidR="00693FD5">
        <w:rPr>
          <w:rFonts w:ascii="Times New Roman" w:hAnsi="Times New Roman" w:cs="Times New Roman"/>
          <w:sz w:val="24"/>
          <w:szCs w:val="24"/>
        </w:rPr>
        <w:t xml:space="preserve">la Consulta </w:t>
      </w:r>
      <w:r w:rsidR="007D6049" w:rsidRPr="00D9553E">
        <w:rPr>
          <w:rFonts w:ascii="Times New Roman" w:hAnsi="Times New Roman" w:cs="Times New Roman"/>
          <w:sz w:val="24"/>
          <w:szCs w:val="24"/>
        </w:rPr>
        <w:t>ha sancito l’illegittimità costituzionale dell’art. 54, co</w:t>
      </w:r>
      <w:r w:rsidR="00D359DF" w:rsidRPr="00D9553E">
        <w:rPr>
          <w:rFonts w:ascii="Times New Roman" w:hAnsi="Times New Roman" w:cs="Times New Roman"/>
          <w:sz w:val="24"/>
          <w:szCs w:val="24"/>
        </w:rPr>
        <w:t>.</w:t>
      </w:r>
      <w:r w:rsidR="007D6049" w:rsidRPr="00D9553E">
        <w:rPr>
          <w:rFonts w:ascii="Times New Roman" w:hAnsi="Times New Roman" w:cs="Times New Roman"/>
          <w:sz w:val="24"/>
          <w:szCs w:val="24"/>
        </w:rPr>
        <w:t xml:space="preserve"> 4 -nella parte </w:t>
      </w:r>
      <w:r w:rsidR="00FB0E42" w:rsidRPr="00D9553E">
        <w:rPr>
          <w:rFonts w:ascii="Times New Roman" w:hAnsi="Times New Roman" w:cs="Times New Roman"/>
          <w:sz w:val="24"/>
          <w:szCs w:val="24"/>
        </w:rPr>
        <w:t xml:space="preserve">concernente </w:t>
      </w:r>
      <w:r w:rsidR="007D6049" w:rsidRPr="00D9553E">
        <w:rPr>
          <w:rFonts w:ascii="Times New Roman" w:hAnsi="Times New Roman" w:cs="Times New Roman"/>
          <w:sz w:val="24"/>
          <w:szCs w:val="24"/>
        </w:rPr>
        <w:t xml:space="preserve">le ordinanze di ordinaria amministrazione- facendo leva sulla violazione della riserva di legge in tema </w:t>
      </w:r>
      <w:proofErr w:type="gramStart"/>
      <w:r w:rsidR="007D6049" w:rsidRPr="00D9553E">
        <w:rPr>
          <w:rFonts w:ascii="Times New Roman" w:hAnsi="Times New Roman" w:cs="Times New Roman"/>
          <w:sz w:val="24"/>
          <w:szCs w:val="24"/>
        </w:rPr>
        <w:t xml:space="preserve">di </w:t>
      </w:r>
      <w:proofErr w:type="gramEnd"/>
      <w:r w:rsidR="007D6049" w:rsidRPr="00D9553E">
        <w:rPr>
          <w:rFonts w:ascii="Times New Roman" w:hAnsi="Times New Roman" w:cs="Times New Roman"/>
          <w:sz w:val="24"/>
          <w:szCs w:val="24"/>
        </w:rPr>
        <w:t>imposizione di prestazioni personali e patrimoniali (art. 23)</w:t>
      </w:r>
      <w:r w:rsidR="007D6049" w:rsidRPr="00D9553E">
        <w:rPr>
          <w:rStyle w:val="Rimandonotaapidipagina"/>
          <w:rFonts w:ascii="Times New Roman" w:hAnsi="Times New Roman" w:cs="Times New Roman"/>
          <w:sz w:val="24"/>
          <w:szCs w:val="24"/>
        </w:rPr>
        <w:footnoteReference w:id="45"/>
      </w:r>
      <w:proofErr w:type="gramStart"/>
      <w:r w:rsidR="007D6049" w:rsidRPr="00D9553E">
        <w:rPr>
          <w:rFonts w:ascii="Times New Roman" w:hAnsi="Times New Roman" w:cs="Times New Roman"/>
          <w:sz w:val="24"/>
          <w:szCs w:val="24"/>
        </w:rPr>
        <w:t xml:space="preserve">, </w:t>
      </w:r>
      <w:proofErr w:type="gramEnd"/>
      <w:r w:rsidR="007D6049" w:rsidRPr="00D9553E">
        <w:rPr>
          <w:rFonts w:ascii="Times New Roman" w:hAnsi="Times New Roman" w:cs="Times New Roman"/>
          <w:sz w:val="24"/>
          <w:szCs w:val="24"/>
        </w:rPr>
        <w:t xml:space="preserve">del </w:t>
      </w:r>
      <w:r w:rsidR="00630807" w:rsidRPr="00D9553E">
        <w:rPr>
          <w:rFonts w:ascii="Times New Roman" w:hAnsi="Times New Roman" w:cs="Times New Roman"/>
          <w:sz w:val="24"/>
          <w:szCs w:val="24"/>
        </w:rPr>
        <w:t>principio</w:t>
      </w:r>
      <w:r w:rsidR="007D6049" w:rsidRPr="00D9553E">
        <w:rPr>
          <w:rFonts w:ascii="Times New Roman" w:hAnsi="Times New Roman" w:cs="Times New Roman"/>
          <w:sz w:val="24"/>
          <w:szCs w:val="24"/>
        </w:rPr>
        <w:t xml:space="preserve"> di imparzialità delle pubbliche amministrazioni (art. 97) e del </w:t>
      </w:r>
      <w:r w:rsidR="00630807" w:rsidRPr="00D9553E">
        <w:rPr>
          <w:rFonts w:ascii="Times New Roman" w:hAnsi="Times New Roman" w:cs="Times New Roman"/>
          <w:sz w:val="24"/>
          <w:szCs w:val="24"/>
        </w:rPr>
        <w:t>principio</w:t>
      </w:r>
      <w:r w:rsidR="007D6049" w:rsidRPr="00D9553E">
        <w:rPr>
          <w:rFonts w:ascii="Times New Roman" w:hAnsi="Times New Roman" w:cs="Times New Roman"/>
          <w:sz w:val="24"/>
          <w:szCs w:val="24"/>
        </w:rPr>
        <w:t xml:space="preserve"> di eguaglianza </w:t>
      </w:r>
      <w:proofErr w:type="gramStart"/>
      <w:r w:rsidR="007D6049" w:rsidRPr="00D9553E">
        <w:rPr>
          <w:rFonts w:ascii="Times New Roman" w:hAnsi="Times New Roman" w:cs="Times New Roman"/>
          <w:sz w:val="24"/>
          <w:szCs w:val="24"/>
        </w:rPr>
        <w:t>dei</w:t>
      </w:r>
      <w:proofErr w:type="gramEnd"/>
      <w:r w:rsidR="007D6049" w:rsidRPr="00D9553E">
        <w:rPr>
          <w:rFonts w:ascii="Times New Roman" w:hAnsi="Times New Roman" w:cs="Times New Roman"/>
          <w:sz w:val="24"/>
          <w:szCs w:val="24"/>
        </w:rPr>
        <w:t xml:space="preserve"> cittadini davanti alla legge (art. 3</w:t>
      </w:r>
      <w:proofErr w:type="gramStart"/>
      <w:r w:rsidR="007D6049" w:rsidRPr="00D9553E">
        <w:rPr>
          <w:rFonts w:ascii="Times New Roman" w:hAnsi="Times New Roman" w:cs="Times New Roman"/>
          <w:sz w:val="24"/>
          <w:szCs w:val="24"/>
        </w:rPr>
        <w:t>).</w:t>
      </w:r>
      <w:proofErr w:type="gramEnd"/>
      <w:r w:rsidR="007D6049" w:rsidRPr="00D9553E">
        <w:rPr>
          <w:rFonts w:ascii="Times New Roman" w:hAnsi="Times New Roman" w:cs="Times New Roman"/>
          <w:sz w:val="24"/>
          <w:szCs w:val="24"/>
        </w:rPr>
        <w:t xml:space="preserve"> </w:t>
      </w:r>
    </w:p>
    <w:p w14:paraId="6E00231C" w14:textId="6964D781" w:rsidR="00AF70F5" w:rsidRPr="00D9553E" w:rsidRDefault="0074061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8304B" w:rsidRPr="00D9553E">
        <w:rPr>
          <w:rFonts w:ascii="Times New Roman" w:hAnsi="Times New Roman" w:cs="Times New Roman"/>
          <w:sz w:val="24"/>
          <w:szCs w:val="24"/>
        </w:rPr>
        <w:t>La riflessione</w:t>
      </w:r>
      <w:r w:rsidR="00690702" w:rsidRPr="00D9553E">
        <w:rPr>
          <w:rFonts w:ascii="Times New Roman" w:hAnsi="Times New Roman" w:cs="Times New Roman"/>
          <w:sz w:val="24"/>
          <w:szCs w:val="24"/>
        </w:rPr>
        <w:t xml:space="preserve"> qui condotta</w:t>
      </w:r>
      <w:r w:rsidR="0092185B" w:rsidRPr="00D9553E">
        <w:rPr>
          <w:rFonts w:ascii="Times New Roman" w:hAnsi="Times New Roman" w:cs="Times New Roman"/>
          <w:sz w:val="24"/>
          <w:szCs w:val="24"/>
        </w:rPr>
        <w:t xml:space="preserve"> </w:t>
      </w:r>
      <w:r w:rsidR="007D6049" w:rsidRPr="00D9553E">
        <w:rPr>
          <w:rFonts w:ascii="Times New Roman" w:hAnsi="Times New Roman" w:cs="Times New Roman"/>
          <w:sz w:val="24"/>
          <w:szCs w:val="24"/>
        </w:rPr>
        <w:t>resta</w:t>
      </w:r>
      <w:r w:rsidR="0008304B" w:rsidRPr="00D9553E">
        <w:rPr>
          <w:rFonts w:ascii="Times New Roman" w:hAnsi="Times New Roman" w:cs="Times New Roman"/>
          <w:sz w:val="24"/>
          <w:szCs w:val="24"/>
        </w:rPr>
        <w:t>,</w:t>
      </w:r>
      <w:r w:rsidR="007D6049" w:rsidRPr="00D9553E">
        <w:rPr>
          <w:rFonts w:ascii="Times New Roman" w:hAnsi="Times New Roman" w:cs="Times New Roman"/>
          <w:sz w:val="24"/>
          <w:szCs w:val="24"/>
        </w:rPr>
        <w:t xml:space="preserve"> perciò</w:t>
      </w:r>
      <w:r w:rsidR="0008304B" w:rsidRPr="00D9553E">
        <w:rPr>
          <w:rFonts w:ascii="Times New Roman" w:hAnsi="Times New Roman" w:cs="Times New Roman"/>
          <w:sz w:val="24"/>
          <w:szCs w:val="24"/>
        </w:rPr>
        <w:t>,</w:t>
      </w:r>
      <w:r w:rsidR="007D6049" w:rsidRPr="00D9553E">
        <w:rPr>
          <w:rFonts w:ascii="Times New Roman" w:hAnsi="Times New Roman" w:cs="Times New Roman"/>
          <w:sz w:val="24"/>
          <w:szCs w:val="24"/>
        </w:rPr>
        <w:t xml:space="preserve"> circoscritta </w:t>
      </w:r>
      <w:r w:rsidR="00693FD5">
        <w:rPr>
          <w:rFonts w:ascii="Times New Roman" w:hAnsi="Times New Roman" w:cs="Times New Roman"/>
          <w:sz w:val="24"/>
          <w:szCs w:val="24"/>
        </w:rPr>
        <w:t xml:space="preserve">esclusivamente </w:t>
      </w:r>
      <w:r w:rsidR="007D6049" w:rsidRPr="00D9553E">
        <w:rPr>
          <w:rFonts w:ascii="Times New Roman" w:hAnsi="Times New Roman" w:cs="Times New Roman"/>
          <w:sz w:val="24"/>
          <w:szCs w:val="24"/>
        </w:rPr>
        <w:t xml:space="preserve">alle ordinanze contingibili </w:t>
      </w:r>
      <w:proofErr w:type="gramStart"/>
      <w:r w:rsidR="007D6049" w:rsidRPr="00D9553E">
        <w:rPr>
          <w:rFonts w:ascii="Times New Roman" w:hAnsi="Times New Roman" w:cs="Times New Roman"/>
          <w:sz w:val="24"/>
          <w:szCs w:val="24"/>
        </w:rPr>
        <w:t>ed</w:t>
      </w:r>
      <w:proofErr w:type="gramEnd"/>
      <w:r w:rsidR="007D6049" w:rsidRPr="00D9553E">
        <w:rPr>
          <w:rFonts w:ascii="Times New Roman" w:hAnsi="Times New Roman" w:cs="Times New Roman"/>
          <w:sz w:val="24"/>
          <w:szCs w:val="24"/>
        </w:rPr>
        <w:t xml:space="preserve"> urgenti adottate dal </w:t>
      </w:r>
      <w:r w:rsidR="00244808" w:rsidRPr="00D9553E">
        <w:rPr>
          <w:rFonts w:ascii="Times New Roman" w:hAnsi="Times New Roman" w:cs="Times New Roman"/>
          <w:sz w:val="24"/>
          <w:szCs w:val="24"/>
        </w:rPr>
        <w:t>S</w:t>
      </w:r>
      <w:r w:rsidR="007D6049" w:rsidRPr="00D9553E">
        <w:rPr>
          <w:rFonts w:ascii="Times New Roman" w:hAnsi="Times New Roman" w:cs="Times New Roman"/>
          <w:sz w:val="24"/>
          <w:szCs w:val="24"/>
        </w:rPr>
        <w:t>indaco</w:t>
      </w:r>
      <w:r w:rsidR="00690702" w:rsidRPr="00D9553E">
        <w:rPr>
          <w:rFonts w:ascii="Times New Roman" w:hAnsi="Times New Roman" w:cs="Times New Roman"/>
          <w:sz w:val="24"/>
          <w:szCs w:val="24"/>
        </w:rPr>
        <w:t xml:space="preserve"> ai sensi degli artt.</w:t>
      </w:r>
      <w:r w:rsidR="007D6049" w:rsidRPr="00D9553E">
        <w:rPr>
          <w:rFonts w:ascii="Times New Roman" w:hAnsi="Times New Roman" w:cs="Times New Roman"/>
          <w:sz w:val="24"/>
          <w:szCs w:val="24"/>
        </w:rPr>
        <w:t xml:space="preserve"> 50</w:t>
      </w:r>
      <w:r w:rsidR="0092185B" w:rsidRPr="00D9553E">
        <w:rPr>
          <w:rFonts w:ascii="Times New Roman" w:hAnsi="Times New Roman" w:cs="Times New Roman"/>
          <w:sz w:val="24"/>
          <w:szCs w:val="24"/>
        </w:rPr>
        <w:t xml:space="preserve"> </w:t>
      </w:r>
      <w:r w:rsidR="00690702" w:rsidRPr="00D9553E">
        <w:rPr>
          <w:rFonts w:ascii="Times New Roman" w:hAnsi="Times New Roman" w:cs="Times New Roman"/>
          <w:sz w:val="24"/>
          <w:szCs w:val="24"/>
        </w:rPr>
        <w:t xml:space="preserve">e </w:t>
      </w:r>
      <w:r w:rsidR="007D6049" w:rsidRPr="00D9553E">
        <w:rPr>
          <w:rFonts w:ascii="Times New Roman" w:hAnsi="Times New Roman" w:cs="Times New Roman"/>
          <w:sz w:val="24"/>
          <w:szCs w:val="24"/>
        </w:rPr>
        <w:t>54, co</w:t>
      </w:r>
      <w:r w:rsidR="00690702" w:rsidRPr="00D9553E">
        <w:rPr>
          <w:rFonts w:ascii="Times New Roman" w:hAnsi="Times New Roman" w:cs="Times New Roman"/>
          <w:sz w:val="24"/>
          <w:szCs w:val="24"/>
        </w:rPr>
        <w:t>.</w:t>
      </w:r>
      <w:r w:rsidR="007D6049" w:rsidRPr="00D9553E">
        <w:rPr>
          <w:rFonts w:ascii="Times New Roman" w:hAnsi="Times New Roman" w:cs="Times New Roman"/>
          <w:sz w:val="24"/>
          <w:szCs w:val="24"/>
        </w:rPr>
        <w:t xml:space="preserve"> 4 </w:t>
      </w:r>
      <w:proofErr w:type="spellStart"/>
      <w:proofErr w:type="gramStart"/>
      <w:r w:rsidR="007D6049" w:rsidRPr="00D9553E">
        <w:rPr>
          <w:rFonts w:ascii="Times New Roman" w:hAnsi="Times New Roman" w:cs="Times New Roman"/>
          <w:sz w:val="24"/>
          <w:szCs w:val="24"/>
        </w:rPr>
        <w:t>t.u.e.l</w:t>
      </w:r>
      <w:proofErr w:type="spellEnd"/>
      <w:r w:rsidR="007D6049" w:rsidRPr="00D9553E">
        <w:rPr>
          <w:rFonts w:ascii="Times New Roman" w:hAnsi="Times New Roman" w:cs="Times New Roman"/>
          <w:sz w:val="24"/>
          <w:szCs w:val="24"/>
        </w:rPr>
        <w:t>.</w:t>
      </w:r>
      <w:proofErr w:type="gramEnd"/>
      <w:r w:rsidR="00690702" w:rsidRPr="00D9553E">
        <w:rPr>
          <w:rFonts w:ascii="Times New Roman" w:hAnsi="Times New Roman" w:cs="Times New Roman"/>
          <w:sz w:val="24"/>
          <w:szCs w:val="24"/>
        </w:rPr>
        <w:t xml:space="preserve"> al fine </w:t>
      </w:r>
      <w:r w:rsidR="00C557A1" w:rsidRPr="00D9553E">
        <w:rPr>
          <w:rFonts w:ascii="Times New Roman" w:hAnsi="Times New Roman" w:cs="Times New Roman"/>
          <w:sz w:val="24"/>
          <w:szCs w:val="24"/>
        </w:rPr>
        <w:t xml:space="preserve">di </w:t>
      </w:r>
      <w:r w:rsidR="00AF70F5" w:rsidRPr="00D9553E">
        <w:rPr>
          <w:rFonts w:ascii="Times New Roman" w:hAnsi="Times New Roman" w:cs="Times New Roman"/>
          <w:sz w:val="24"/>
          <w:szCs w:val="24"/>
        </w:rPr>
        <w:t>ricostruire i limiti del potere che ne rendano costituzional</w:t>
      </w:r>
      <w:r w:rsidR="00FE47E0" w:rsidRPr="00D9553E">
        <w:rPr>
          <w:rFonts w:ascii="Times New Roman" w:hAnsi="Times New Roman" w:cs="Times New Roman"/>
          <w:sz w:val="24"/>
          <w:szCs w:val="24"/>
        </w:rPr>
        <w:t>mente legittimo l’esercizio</w:t>
      </w:r>
      <w:r w:rsidR="00690702" w:rsidRPr="00D9553E">
        <w:rPr>
          <w:rFonts w:ascii="Times New Roman" w:hAnsi="Times New Roman" w:cs="Times New Roman"/>
          <w:sz w:val="24"/>
          <w:szCs w:val="24"/>
        </w:rPr>
        <w:t xml:space="preserve"> e</w:t>
      </w:r>
      <w:r w:rsidR="0092185B" w:rsidRPr="00D9553E">
        <w:rPr>
          <w:rFonts w:ascii="Times New Roman" w:hAnsi="Times New Roman" w:cs="Times New Roman"/>
          <w:sz w:val="24"/>
          <w:szCs w:val="24"/>
        </w:rPr>
        <w:t xml:space="preserve"> </w:t>
      </w:r>
      <w:r w:rsidR="00690702" w:rsidRPr="00D9553E">
        <w:rPr>
          <w:rFonts w:ascii="Times New Roman" w:hAnsi="Times New Roman" w:cs="Times New Roman"/>
          <w:sz w:val="24"/>
          <w:szCs w:val="24"/>
        </w:rPr>
        <w:t xml:space="preserve">di </w:t>
      </w:r>
      <w:r w:rsidR="00FE47E0" w:rsidRPr="00D9553E">
        <w:rPr>
          <w:rFonts w:ascii="Times New Roman" w:hAnsi="Times New Roman" w:cs="Times New Roman"/>
          <w:sz w:val="24"/>
          <w:szCs w:val="24"/>
        </w:rPr>
        <w:t xml:space="preserve">valutare </w:t>
      </w:r>
      <w:r w:rsidR="00C557A1" w:rsidRPr="00D9553E">
        <w:rPr>
          <w:rFonts w:ascii="Times New Roman" w:hAnsi="Times New Roman" w:cs="Times New Roman"/>
          <w:sz w:val="24"/>
          <w:szCs w:val="24"/>
        </w:rPr>
        <w:t xml:space="preserve">in quale rapporto essi si pongano con </w:t>
      </w:r>
      <w:r w:rsidR="00FE47E0" w:rsidRPr="00D9553E">
        <w:rPr>
          <w:rFonts w:ascii="Times New Roman" w:hAnsi="Times New Roman" w:cs="Times New Roman"/>
          <w:sz w:val="24"/>
          <w:szCs w:val="24"/>
        </w:rPr>
        <w:t>il “</w:t>
      </w:r>
      <w:r w:rsidR="00630807" w:rsidRPr="00D9553E">
        <w:rPr>
          <w:rFonts w:ascii="Times New Roman" w:hAnsi="Times New Roman" w:cs="Times New Roman"/>
          <w:sz w:val="24"/>
          <w:szCs w:val="24"/>
        </w:rPr>
        <w:t>principio</w:t>
      </w:r>
      <w:r w:rsidR="00FE47E0" w:rsidRPr="00D9553E">
        <w:rPr>
          <w:rFonts w:ascii="Times New Roman" w:hAnsi="Times New Roman" w:cs="Times New Roman"/>
          <w:sz w:val="24"/>
          <w:szCs w:val="24"/>
        </w:rPr>
        <w:t xml:space="preserve"> di precauzione</w:t>
      </w:r>
      <w:r w:rsidR="00690702" w:rsidRPr="00D9553E">
        <w:rPr>
          <w:rFonts w:ascii="Times New Roman" w:hAnsi="Times New Roman" w:cs="Times New Roman"/>
          <w:sz w:val="24"/>
          <w:szCs w:val="24"/>
        </w:rPr>
        <w:t>”</w:t>
      </w:r>
      <w:r w:rsidR="00244808" w:rsidRPr="00D9553E">
        <w:rPr>
          <w:rFonts w:ascii="Times New Roman" w:hAnsi="Times New Roman" w:cs="Times New Roman"/>
          <w:sz w:val="24"/>
          <w:szCs w:val="24"/>
        </w:rPr>
        <w:t>,</w:t>
      </w:r>
      <w:r w:rsidR="00FE47E0" w:rsidRPr="00D9553E">
        <w:rPr>
          <w:rFonts w:ascii="Times New Roman" w:hAnsi="Times New Roman" w:cs="Times New Roman"/>
          <w:sz w:val="24"/>
          <w:szCs w:val="24"/>
        </w:rPr>
        <w:t xml:space="preserve"> sempre più spesso invocato dai Sindaci a fondamento dei propri provvedimenti.</w:t>
      </w:r>
      <w:r w:rsidR="00AF70F5" w:rsidRPr="00D9553E">
        <w:rPr>
          <w:rFonts w:ascii="Times New Roman" w:hAnsi="Times New Roman" w:cs="Times New Roman"/>
          <w:sz w:val="24"/>
          <w:szCs w:val="24"/>
        </w:rPr>
        <w:t xml:space="preserve"> </w:t>
      </w:r>
    </w:p>
    <w:p w14:paraId="164FD37F" w14:textId="030E7746" w:rsidR="00FA696C" w:rsidRPr="00D9553E" w:rsidRDefault="0074061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380B2B" w:rsidRPr="00D9553E">
        <w:rPr>
          <w:rFonts w:ascii="Times New Roman" w:hAnsi="Times New Roman" w:cs="Times New Roman"/>
          <w:sz w:val="24"/>
          <w:szCs w:val="24"/>
        </w:rPr>
        <w:t>Or,</w:t>
      </w:r>
      <w:r w:rsidR="00FE47E0" w:rsidRPr="00D9553E">
        <w:rPr>
          <w:rFonts w:ascii="Times New Roman" w:hAnsi="Times New Roman" w:cs="Times New Roman"/>
          <w:sz w:val="24"/>
          <w:szCs w:val="24"/>
        </w:rPr>
        <w:t xml:space="preserve"> </w:t>
      </w:r>
      <w:proofErr w:type="gramStart"/>
      <w:r w:rsidR="00380B2B" w:rsidRPr="00D9553E">
        <w:rPr>
          <w:rFonts w:ascii="Times New Roman" w:hAnsi="Times New Roman" w:cs="Times New Roman"/>
          <w:sz w:val="24"/>
          <w:szCs w:val="24"/>
        </w:rPr>
        <w:t>dal momento che</w:t>
      </w:r>
      <w:proofErr w:type="gramEnd"/>
      <w:r w:rsidR="00380B2B" w:rsidRPr="00D9553E">
        <w:rPr>
          <w:rFonts w:ascii="Times New Roman" w:hAnsi="Times New Roman" w:cs="Times New Roman"/>
          <w:sz w:val="24"/>
          <w:szCs w:val="24"/>
        </w:rPr>
        <w:t xml:space="preserve"> </w:t>
      </w:r>
      <w:r w:rsidR="00FE47E0" w:rsidRPr="00D9553E">
        <w:rPr>
          <w:rFonts w:ascii="Times New Roman" w:hAnsi="Times New Roman" w:cs="Times New Roman"/>
          <w:sz w:val="24"/>
          <w:szCs w:val="24"/>
        </w:rPr>
        <w:t xml:space="preserve">l’ordinanza contingibile ed urgente </w:t>
      </w:r>
      <w:r w:rsidR="00380B2B" w:rsidRPr="00D9553E">
        <w:rPr>
          <w:rFonts w:ascii="Times New Roman" w:hAnsi="Times New Roman" w:cs="Times New Roman"/>
          <w:sz w:val="24"/>
          <w:szCs w:val="24"/>
        </w:rPr>
        <w:t xml:space="preserve">consente in via eccezionale di derogare le norme dell’ordinamento </w:t>
      </w:r>
      <w:r w:rsidR="007A2595">
        <w:rPr>
          <w:rFonts w:ascii="Times New Roman" w:hAnsi="Times New Roman" w:cs="Times New Roman"/>
          <w:sz w:val="24"/>
          <w:szCs w:val="24"/>
        </w:rPr>
        <w:t>-</w:t>
      </w:r>
      <w:r w:rsidR="00AF70F5" w:rsidRPr="00D9553E">
        <w:rPr>
          <w:rFonts w:ascii="Times New Roman" w:hAnsi="Times New Roman" w:cs="Times New Roman"/>
          <w:sz w:val="24"/>
          <w:szCs w:val="24"/>
        </w:rPr>
        <w:t xml:space="preserve">pur entro i confini del </w:t>
      </w:r>
      <w:r w:rsidR="00630807" w:rsidRPr="00D9553E">
        <w:rPr>
          <w:rFonts w:ascii="Times New Roman" w:hAnsi="Times New Roman" w:cs="Times New Roman"/>
          <w:sz w:val="24"/>
          <w:szCs w:val="24"/>
        </w:rPr>
        <w:t>principio</w:t>
      </w:r>
      <w:r w:rsidR="00AF70F5" w:rsidRPr="00D9553E">
        <w:rPr>
          <w:rFonts w:ascii="Times New Roman" w:hAnsi="Times New Roman" w:cs="Times New Roman"/>
          <w:sz w:val="24"/>
          <w:szCs w:val="24"/>
        </w:rPr>
        <w:t xml:space="preserve"> di </w:t>
      </w:r>
      <w:r w:rsidR="00AF70F5" w:rsidRPr="00D9553E">
        <w:rPr>
          <w:rFonts w:ascii="Times New Roman" w:hAnsi="Times New Roman" w:cs="Times New Roman"/>
          <w:sz w:val="24"/>
          <w:szCs w:val="24"/>
        </w:rPr>
        <w:lastRenderedPageBreak/>
        <w:t>legalità (il cui rispetto è garantito dall’esistenza di una norma di legge attributiva del potere) e nel</w:t>
      </w:r>
      <w:r w:rsidR="00F60126" w:rsidRPr="00D9553E">
        <w:rPr>
          <w:rFonts w:ascii="Times New Roman" w:hAnsi="Times New Roman" w:cs="Times New Roman"/>
          <w:sz w:val="24"/>
          <w:szCs w:val="24"/>
        </w:rPr>
        <w:t xml:space="preserve">l’osservanza </w:t>
      </w:r>
      <w:r w:rsidR="00AF70F5" w:rsidRPr="00D9553E">
        <w:rPr>
          <w:rFonts w:ascii="Times New Roman" w:hAnsi="Times New Roman" w:cs="Times New Roman"/>
          <w:sz w:val="24"/>
          <w:szCs w:val="24"/>
        </w:rPr>
        <w:t xml:space="preserve">dei </w:t>
      </w:r>
      <w:r w:rsidR="00380B2B" w:rsidRPr="00D9553E">
        <w:rPr>
          <w:rFonts w:ascii="Times New Roman" w:hAnsi="Times New Roman" w:cs="Times New Roman"/>
          <w:sz w:val="24"/>
          <w:szCs w:val="24"/>
        </w:rPr>
        <w:t xml:space="preserve">soli </w:t>
      </w:r>
      <w:r w:rsidR="00630807" w:rsidRPr="00D9553E">
        <w:rPr>
          <w:rFonts w:ascii="Times New Roman" w:hAnsi="Times New Roman" w:cs="Times New Roman"/>
          <w:sz w:val="24"/>
          <w:szCs w:val="24"/>
        </w:rPr>
        <w:t>princìpi</w:t>
      </w:r>
      <w:r w:rsidR="00AF70F5" w:rsidRPr="00D9553E">
        <w:rPr>
          <w:rFonts w:ascii="Times New Roman" w:hAnsi="Times New Roman" w:cs="Times New Roman"/>
          <w:sz w:val="24"/>
          <w:szCs w:val="24"/>
        </w:rPr>
        <w:t xml:space="preserve"> generali, anzitutto costituzionali</w:t>
      </w:r>
      <w:r w:rsidR="007A2595">
        <w:rPr>
          <w:rFonts w:ascii="Times New Roman" w:hAnsi="Times New Roman" w:cs="Times New Roman"/>
          <w:sz w:val="24"/>
          <w:szCs w:val="24"/>
        </w:rPr>
        <w:t>-</w:t>
      </w:r>
      <w:r w:rsidR="0008304B" w:rsidRPr="00D9553E">
        <w:rPr>
          <w:rFonts w:ascii="Times New Roman" w:hAnsi="Times New Roman" w:cs="Times New Roman"/>
          <w:sz w:val="24"/>
          <w:szCs w:val="24"/>
        </w:rPr>
        <w:t xml:space="preserve"> </w:t>
      </w:r>
      <w:r w:rsidR="00AF70F5" w:rsidRPr="00D9553E">
        <w:rPr>
          <w:rFonts w:ascii="Times New Roman" w:hAnsi="Times New Roman" w:cs="Times New Roman"/>
          <w:sz w:val="24"/>
          <w:szCs w:val="24"/>
        </w:rPr>
        <w:t xml:space="preserve">le norme attributive </w:t>
      </w:r>
      <w:r w:rsidR="00FE47E0" w:rsidRPr="00D9553E">
        <w:rPr>
          <w:rFonts w:ascii="Times New Roman" w:hAnsi="Times New Roman" w:cs="Times New Roman"/>
          <w:sz w:val="24"/>
          <w:szCs w:val="24"/>
        </w:rPr>
        <w:t xml:space="preserve">del relativo potere </w:t>
      </w:r>
      <w:r w:rsidR="00AF70F5" w:rsidRPr="00D9553E">
        <w:rPr>
          <w:rFonts w:ascii="Times New Roman" w:hAnsi="Times New Roman" w:cs="Times New Roman"/>
          <w:sz w:val="24"/>
          <w:szCs w:val="24"/>
        </w:rPr>
        <w:t>dovrebbero essere oggetto di interpretazione restrittiva sia da parte dell’Amm</w:t>
      </w:r>
      <w:r w:rsidR="00503D4A" w:rsidRPr="00D9553E">
        <w:rPr>
          <w:rFonts w:ascii="Times New Roman" w:hAnsi="Times New Roman" w:cs="Times New Roman"/>
          <w:sz w:val="24"/>
          <w:szCs w:val="24"/>
        </w:rPr>
        <w:t>inistrazione, sia del g</w:t>
      </w:r>
      <w:r w:rsidR="00AF70F5" w:rsidRPr="00D9553E">
        <w:rPr>
          <w:rFonts w:ascii="Times New Roman" w:hAnsi="Times New Roman" w:cs="Times New Roman"/>
          <w:sz w:val="24"/>
          <w:szCs w:val="24"/>
        </w:rPr>
        <w:t>iudice chiamato</w:t>
      </w:r>
      <w:r w:rsidR="00FE47E0" w:rsidRPr="00D9553E">
        <w:rPr>
          <w:rFonts w:ascii="Times New Roman" w:hAnsi="Times New Roman" w:cs="Times New Roman"/>
          <w:sz w:val="24"/>
          <w:szCs w:val="24"/>
        </w:rPr>
        <w:t xml:space="preserve"> a scrutinare la legittimità dei provvedimenti</w:t>
      </w:r>
      <w:r w:rsidR="00AF70F5" w:rsidRPr="00D9553E">
        <w:rPr>
          <w:rFonts w:ascii="Times New Roman" w:hAnsi="Times New Roman" w:cs="Times New Roman"/>
          <w:sz w:val="24"/>
          <w:szCs w:val="24"/>
        </w:rPr>
        <w:t>.</w:t>
      </w:r>
    </w:p>
    <w:p w14:paraId="0F717F63" w14:textId="79564568" w:rsidR="00AF70F5" w:rsidRPr="00D9553E" w:rsidRDefault="0074061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AF70F5" w:rsidRPr="00D9553E">
        <w:rPr>
          <w:rFonts w:ascii="Times New Roman" w:hAnsi="Times New Roman" w:cs="Times New Roman"/>
          <w:sz w:val="24"/>
          <w:szCs w:val="24"/>
        </w:rPr>
        <w:t xml:space="preserve">Tale considerazione, seppur </w:t>
      </w:r>
      <w:r w:rsidR="00AB7804">
        <w:rPr>
          <w:rFonts w:ascii="Times New Roman" w:hAnsi="Times New Roman" w:cs="Times New Roman"/>
          <w:sz w:val="24"/>
          <w:szCs w:val="24"/>
        </w:rPr>
        <w:t>possa</w:t>
      </w:r>
      <w:r w:rsidR="00AF70F5" w:rsidRPr="00D9553E">
        <w:rPr>
          <w:rFonts w:ascii="Times New Roman" w:hAnsi="Times New Roman" w:cs="Times New Roman"/>
          <w:sz w:val="24"/>
          <w:szCs w:val="24"/>
        </w:rPr>
        <w:t xml:space="preserve"> </w:t>
      </w:r>
      <w:r w:rsidR="006D669D" w:rsidRPr="00D9553E">
        <w:rPr>
          <w:rFonts w:ascii="Times New Roman" w:hAnsi="Times New Roman" w:cs="Times New Roman"/>
          <w:sz w:val="24"/>
          <w:szCs w:val="24"/>
        </w:rPr>
        <w:t>ap</w:t>
      </w:r>
      <w:r w:rsidR="00AF70F5" w:rsidRPr="00D9553E">
        <w:rPr>
          <w:rFonts w:ascii="Times New Roman" w:hAnsi="Times New Roman" w:cs="Times New Roman"/>
          <w:sz w:val="24"/>
          <w:szCs w:val="24"/>
        </w:rPr>
        <w:t>par</w:t>
      </w:r>
      <w:r w:rsidR="006D669D" w:rsidRPr="00D9553E">
        <w:rPr>
          <w:rFonts w:ascii="Times New Roman" w:hAnsi="Times New Roman" w:cs="Times New Roman"/>
          <w:sz w:val="24"/>
          <w:szCs w:val="24"/>
        </w:rPr>
        <w:t>i</w:t>
      </w:r>
      <w:r w:rsidR="00AF70F5" w:rsidRPr="00D9553E">
        <w:rPr>
          <w:rFonts w:ascii="Times New Roman" w:hAnsi="Times New Roman" w:cs="Times New Roman"/>
          <w:sz w:val="24"/>
          <w:szCs w:val="24"/>
        </w:rPr>
        <w:t xml:space="preserve">re ovvia, in realtà si scontra con una certa disinvoltura dell’autorità amministrativa nell’utilizzo di questo delicatissimo potere, talvolta con l’avallo della giurisprudenza. </w:t>
      </w:r>
    </w:p>
    <w:p w14:paraId="1030C10D" w14:textId="61ECF91A" w:rsidR="009F1779" w:rsidRPr="00D9553E" w:rsidRDefault="0074061F"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AF70F5" w:rsidRPr="00D9553E">
        <w:rPr>
          <w:rFonts w:ascii="Times New Roman" w:hAnsi="Times New Roman" w:cs="Times New Roman"/>
          <w:sz w:val="24"/>
          <w:szCs w:val="24"/>
        </w:rPr>
        <w:t>Così, quanto al presupposto dell’</w:t>
      </w:r>
      <w:r w:rsidR="00AF70F5" w:rsidRPr="00D9553E">
        <w:rPr>
          <w:rFonts w:ascii="Times New Roman" w:hAnsi="Times New Roman" w:cs="Times New Roman"/>
          <w:color w:val="000000" w:themeColor="text1"/>
          <w:sz w:val="24"/>
          <w:szCs w:val="24"/>
        </w:rPr>
        <w:t xml:space="preserve">urgenza di provvedere </w:t>
      </w:r>
      <w:proofErr w:type="gramStart"/>
      <w:r w:rsidR="00AF70F5" w:rsidRPr="00D9553E">
        <w:rPr>
          <w:rFonts w:ascii="Times New Roman" w:hAnsi="Times New Roman" w:cs="Times New Roman"/>
          <w:sz w:val="24"/>
          <w:szCs w:val="24"/>
        </w:rPr>
        <w:t>(</w:t>
      </w:r>
      <w:proofErr w:type="gramEnd"/>
      <w:r w:rsidR="00AF70F5" w:rsidRPr="00D9553E">
        <w:rPr>
          <w:rFonts w:ascii="Times New Roman" w:hAnsi="Times New Roman" w:cs="Times New Roman"/>
          <w:sz w:val="24"/>
          <w:szCs w:val="24"/>
        </w:rPr>
        <w:t xml:space="preserve">declinato nell’art. 50 </w:t>
      </w:r>
      <w:proofErr w:type="spellStart"/>
      <w:r w:rsidR="00AF70F5" w:rsidRPr="00D9553E">
        <w:rPr>
          <w:rFonts w:ascii="Times New Roman" w:hAnsi="Times New Roman" w:cs="Times New Roman"/>
          <w:sz w:val="24"/>
          <w:szCs w:val="24"/>
        </w:rPr>
        <w:t>t.u.e.l</w:t>
      </w:r>
      <w:proofErr w:type="spellEnd"/>
      <w:r w:rsidR="00AF70F5" w:rsidRPr="00D9553E">
        <w:rPr>
          <w:rFonts w:ascii="Times New Roman" w:hAnsi="Times New Roman" w:cs="Times New Roman"/>
          <w:sz w:val="24"/>
          <w:szCs w:val="24"/>
        </w:rPr>
        <w:t>. in termini di vera e pro</w:t>
      </w:r>
      <w:r w:rsidR="00F60126" w:rsidRPr="00D9553E">
        <w:rPr>
          <w:rFonts w:ascii="Times New Roman" w:hAnsi="Times New Roman" w:cs="Times New Roman"/>
          <w:sz w:val="24"/>
          <w:szCs w:val="24"/>
        </w:rPr>
        <w:t>pria “emergenza”</w:t>
      </w:r>
      <w:r w:rsidR="00AF70F5" w:rsidRPr="00D9553E">
        <w:rPr>
          <w:rFonts w:ascii="Times New Roman" w:hAnsi="Times New Roman" w:cs="Times New Roman"/>
          <w:sz w:val="24"/>
          <w:szCs w:val="24"/>
        </w:rPr>
        <w:t>)</w:t>
      </w:r>
      <w:r w:rsidR="000D26E2" w:rsidRPr="00D9553E">
        <w:rPr>
          <w:rFonts w:ascii="Times New Roman" w:hAnsi="Times New Roman" w:cs="Times New Roman"/>
          <w:sz w:val="24"/>
          <w:szCs w:val="24"/>
        </w:rPr>
        <w:t>,</w:t>
      </w:r>
      <w:r w:rsidR="00AF70F5" w:rsidRPr="00D9553E">
        <w:rPr>
          <w:rFonts w:ascii="Times New Roman" w:hAnsi="Times New Roman" w:cs="Times New Roman"/>
          <w:sz w:val="24"/>
          <w:szCs w:val="24"/>
        </w:rPr>
        <w:t xml:space="preserve"> non mancano pronunce che </w:t>
      </w:r>
      <w:r w:rsidR="00CD6C28">
        <w:rPr>
          <w:rFonts w:ascii="Times New Roman" w:hAnsi="Times New Roman" w:cs="Times New Roman"/>
          <w:sz w:val="24"/>
          <w:szCs w:val="24"/>
        </w:rPr>
        <w:t>-v</w:t>
      </w:r>
      <w:r w:rsidR="00AF70F5" w:rsidRPr="00D9553E">
        <w:rPr>
          <w:rFonts w:ascii="Times New Roman" w:hAnsi="Times New Roman" w:cs="Times New Roman"/>
          <w:sz w:val="24"/>
          <w:szCs w:val="24"/>
        </w:rPr>
        <w:t>al</w:t>
      </w:r>
      <w:r w:rsidR="00AD2FFC" w:rsidRPr="00D9553E">
        <w:rPr>
          <w:rFonts w:ascii="Times New Roman" w:hAnsi="Times New Roman" w:cs="Times New Roman"/>
          <w:sz w:val="24"/>
          <w:szCs w:val="24"/>
        </w:rPr>
        <w:t>orizzando l’elemento funzionale</w:t>
      </w:r>
      <w:r w:rsidR="00503D4A" w:rsidRPr="00D9553E">
        <w:rPr>
          <w:rFonts w:ascii="Times New Roman" w:hAnsi="Times New Roman" w:cs="Times New Roman"/>
          <w:sz w:val="24"/>
          <w:szCs w:val="24"/>
        </w:rPr>
        <w:t xml:space="preserve"> (la necessità di tutela</w:t>
      </w:r>
      <w:r w:rsidR="00AF70F5" w:rsidRPr="00D9553E">
        <w:rPr>
          <w:rFonts w:ascii="Times New Roman" w:hAnsi="Times New Roman" w:cs="Times New Roman"/>
          <w:sz w:val="24"/>
          <w:szCs w:val="24"/>
        </w:rPr>
        <w:t xml:space="preserve"> dell’incolumità, sanità o igiene pubblica)</w:t>
      </w:r>
      <w:r w:rsidR="00CD6C28">
        <w:rPr>
          <w:rFonts w:ascii="Times New Roman" w:hAnsi="Times New Roman" w:cs="Times New Roman"/>
          <w:sz w:val="24"/>
          <w:szCs w:val="24"/>
        </w:rPr>
        <w:t>-</w:t>
      </w:r>
      <w:r w:rsidR="00244808" w:rsidRPr="00D9553E">
        <w:rPr>
          <w:rFonts w:ascii="Times New Roman" w:hAnsi="Times New Roman" w:cs="Times New Roman"/>
          <w:sz w:val="24"/>
          <w:szCs w:val="24"/>
        </w:rPr>
        <w:t xml:space="preserve"> </w:t>
      </w:r>
      <w:r w:rsidR="00AF70F5" w:rsidRPr="00D9553E">
        <w:rPr>
          <w:rFonts w:ascii="Times New Roman" w:hAnsi="Times New Roman" w:cs="Times New Roman"/>
          <w:sz w:val="24"/>
          <w:szCs w:val="24"/>
        </w:rPr>
        <w:t xml:space="preserve">ne hanno </w:t>
      </w:r>
      <w:proofErr w:type="gramStart"/>
      <w:r w:rsidR="00AF70F5" w:rsidRPr="00D9553E">
        <w:rPr>
          <w:rFonts w:ascii="Times New Roman" w:hAnsi="Times New Roman" w:cs="Times New Roman"/>
          <w:sz w:val="24"/>
          <w:szCs w:val="24"/>
        </w:rPr>
        <w:t>fornito</w:t>
      </w:r>
      <w:proofErr w:type="gramEnd"/>
      <w:r w:rsidR="00AF70F5" w:rsidRPr="00D9553E">
        <w:rPr>
          <w:rFonts w:ascii="Times New Roman" w:hAnsi="Times New Roman" w:cs="Times New Roman"/>
          <w:sz w:val="24"/>
          <w:szCs w:val="24"/>
        </w:rPr>
        <w:t xml:space="preserve"> un’interpretazione estensiva, riconoscendo la legittimità di ordinanze adottate per far fronte a situazioni di pericolo note da anni</w:t>
      </w:r>
      <w:r w:rsidR="003D5A41" w:rsidRPr="00D9553E">
        <w:rPr>
          <w:rFonts w:ascii="Times New Roman" w:hAnsi="Times New Roman" w:cs="Times New Roman"/>
          <w:sz w:val="24"/>
          <w:szCs w:val="24"/>
        </w:rPr>
        <w:t xml:space="preserve"> e protrattesi nel tempo</w:t>
      </w:r>
      <w:r w:rsidR="009A1FF3" w:rsidRPr="00D9553E">
        <w:rPr>
          <w:rStyle w:val="Rimandonotaapidipagina"/>
          <w:rFonts w:ascii="Times New Roman" w:hAnsi="Times New Roman" w:cs="Times New Roman"/>
          <w:sz w:val="24"/>
          <w:szCs w:val="24"/>
        </w:rPr>
        <w:footnoteReference w:id="46"/>
      </w:r>
      <w:r w:rsidR="00AF70F5" w:rsidRPr="00D9553E">
        <w:rPr>
          <w:rFonts w:ascii="Times New Roman" w:hAnsi="Times New Roman" w:cs="Times New Roman"/>
          <w:sz w:val="24"/>
          <w:szCs w:val="24"/>
        </w:rPr>
        <w:t>.</w:t>
      </w:r>
      <w:r w:rsidR="001702D2" w:rsidRPr="00D9553E">
        <w:rPr>
          <w:rFonts w:ascii="Times New Roman" w:hAnsi="Times New Roman" w:cs="Times New Roman"/>
          <w:sz w:val="24"/>
          <w:szCs w:val="24"/>
        </w:rPr>
        <w:t xml:space="preserve"> </w:t>
      </w:r>
    </w:p>
    <w:p w14:paraId="396AB929" w14:textId="2457BB7E" w:rsidR="009F1779" w:rsidRPr="00D9553E" w:rsidRDefault="00BF05B1"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900880" w:rsidRPr="00D9553E">
        <w:rPr>
          <w:rFonts w:ascii="Times New Roman" w:hAnsi="Times New Roman" w:cs="Times New Roman"/>
          <w:sz w:val="24"/>
          <w:szCs w:val="24"/>
        </w:rPr>
        <w:t>La natura extra ordinaria del potere in</w:t>
      </w:r>
      <w:r w:rsidR="00CF125A" w:rsidRPr="00D9553E">
        <w:rPr>
          <w:rFonts w:ascii="Times New Roman" w:hAnsi="Times New Roman" w:cs="Times New Roman"/>
          <w:sz w:val="24"/>
          <w:szCs w:val="24"/>
        </w:rPr>
        <w:t xml:space="preserve"> argomento</w:t>
      </w:r>
      <w:r w:rsidR="0092185B" w:rsidRPr="00D9553E">
        <w:rPr>
          <w:rFonts w:ascii="Times New Roman" w:hAnsi="Times New Roman" w:cs="Times New Roman"/>
          <w:sz w:val="24"/>
          <w:szCs w:val="24"/>
        </w:rPr>
        <w:t xml:space="preserve"> </w:t>
      </w:r>
      <w:proofErr w:type="gramStart"/>
      <w:r w:rsidR="00900880" w:rsidRPr="00D9553E">
        <w:rPr>
          <w:rFonts w:ascii="Times New Roman" w:hAnsi="Times New Roman" w:cs="Times New Roman"/>
          <w:sz w:val="24"/>
          <w:szCs w:val="24"/>
        </w:rPr>
        <w:t>risulta</w:t>
      </w:r>
      <w:proofErr w:type="gramEnd"/>
      <w:r w:rsidR="0092185B" w:rsidRPr="00D9553E">
        <w:rPr>
          <w:rFonts w:ascii="Times New Roman" w:hAnsi="Times New Roman" w:cs="Times New Roman"/>
          <w:sz w:val="24"/>
          <w:szCs w:val="24"/>
        </w:rPr>
        <w:t xml:space="preserve"> </w:t>
      </w:r>
      <w:r w:rsidR="00CF125A" w:rsidRPr="00D9553E">
        <w:rPr>
          <w:rFonts w:ascii="Times New Roman" w:hAnsi="Times New Roman" w:cs="Times New Roman"/>
          <w:sz w:val="24"/>
          <w:szCs w:val="24"/>
        </w:rPr>
        <w:t>pervero talora</w:t>
      </w:r>
      <w:r w:rsidR="0092185B" w:rsidRPr="00D9553E">
        <w:rPr>
          <w:rFonts w:ascii="Times New Roman" w:hAnsi="Times New Roman" w:cs="Times New Roman"/>
          <w:sz w:val="24"/>
          <w:szCs w:val="24"/>
        </w:rPr>
        <w:t xml:space="preserve"> </w:t>
      </w:r>
      <w:r w:rsidR="00900880" w:rsidRPr="00D9553E">
        <w:rPr>
          <w:rFonts w:ascii="Times New Roman" w:hAnsi="Times New Roman" w:cs="Times New Roman"/>
          <w:sz w:val="24"/>
          <w:szCs w:val="24"/>
        </w:rPr>
        <w:t xml:space="preserve">mitigata in quell’orientamento giurisprudenziale in forza del quale </w:t>
      </w:r>
      <w:r w:rsidR="0008304B" w:rsidRPr="00D9553E">
        <w:rPr>
          <w:rFonts w:ascii="Times New Roman" w:hAnsi="Times New Roman" w:cs="Times New Roman"/>
          <w:sz w:val="24"/>
          <w:szCs w:val="24"/>
        </w:rPr>
        <w:t>«</w:t>
      </w:r>
      <w:r w:rsidR="00900880" w:rsidRPr="00D9553E">
        <w:rPr>
          <w:rFonts w:ascii="Times New Roman" w:hAnsi="Times New Roman" w:cs="Times New Roman"/>
          <w:sz w:val="24"/>
          <w:szCs w:val="24"/>
        </w:rPr>
        <w:t xml:space="preserve">l'assoluta imprevedibilità della situazione da affrontare non è un presupposto indefettibile per l'adozione delle ordinanze </w:t>
      </w:r>
      <w:r w:rsidR="00900880" w:rsidRPr="00D9553E">
        <w:rPr>
          <w:rStyle w:val="resultlisthighlightterm"/>
          <w:rFonts w:ascii="Times New Roman" w:hAnsi="Times New Roman" w:cs="Times New Roman"/>
          <w:sz w:val="24"/>
          <w:szCs w:val="24"/>
        </w:rPr>
        <w:t>sindacali</w:t>
      </w:r>
      <w:r w:rsidR="00900880" w:rsidRPr="00D9553E">
        <w:rPr>
          <w:rFonts w:ascii="Times New Roman" w:hAnsi="Times New Roman" w:cs="Times New Roman"/>
          <w:sz w:val="24"/>
          <w:szCs w:val="24"/>
        </w:rPr>
        <w:t xml:space="preserve"> </w:t>
      </w:r>
      <w:r w:rsidR="00900880" w:rsidRPr="00D9553E">
        <w:rPr>
          <w:rStyle w:val="corsivo"/>
          <w:rFonts w:ascii="Times New Roman" w:hAnsi="Times New Roman" w:cs="Times New Roman"/>
          <w:i/>
          <w:sz w:val="24"/>
          <w:szCs w:val="24"/>
        </w:rPr>
        <w:t xml:space="preserve">extra </w:t>
      </w:r>
      <w:proofErr w:type="spellStart"/>
      <w:r w:rsidR="00900880" w:rsidRPr="00D9553E">
        <w:rPr>
          <w:rStyle w:val="corsivo"/>
          <w:rFonts w:ascii="Times New Roman" w:hAnsi="Times New Roman" w:cs="Times New Roman"/>
          <w:i/>
          <w:sz w:val="24"/>
          <w:szCs w:val="24"/>
        </w:rPr>
        <w:t>ordinem</w:t>
      </w:r>
      <w:proofErr w:type="spellEnd"/>
      <w:r w:rsidR="0008304B" w:rsidRPr="00D9553E">
        <w:rPr>
          <w:rStyle w:val="corsivo"/>
          <w:rFonts w:ascii="Times New Roman" w:hAnsi="Times New Roman" w:cs="Times New Roman"/>
          <w:sz w:val="24"/>
          <w:szCs w:val="24"/>
        </w:rPr>
        <w:t>»</w:t>
      </w:r>
      <w:r w:rsidR="0008304B" w:rsidRPr="00D9553E">
        <w:rPr>
          <w:rStyle w:val="Rimandonotaapidipagina"/>
          <w:rFonts w:ascii="Times New Roman" w:hAnsi="Times New Roman" w:cs="Times New Roman"/>
          <w:sz w:val="24"/>
          <w:szCs w:val="24"/>
        </w:rPr>
        <w:footnoteReference w:id="47"/>
      </w:r>
      <w:r w:rsidR="0008304B" w:rsidRPr="00D9553E">
        <w:rPr>
          <w:rFonts w:ascii="Times New Roman" w:hAnsi="Times New Roman" w:cs="Times New Roman"/>
          <w:sz w:val="24"/>
          <w:szCs w:val="24"/>
        </w:rPr>
        <w:t xml:space="preserve"> </w:t>
      </w:r>
      <w:proofErr w:type="gramStart"/>
      <w:r w:rsidR="003D5A41" w:rsidRPr="00D9553E">
        <w:rPr>
          <w:rFonts w:ascii="Times New Roman" w:hAnsi="Times New Roman" w:cs="Times New Roman"/>
          <w:sz w:val="24"/>
          <w:szCs w:val="24"/>
        </w:rPr>
        <w:t>e</w:t>
      </w:r>
      <w:proofErr w:type="gramEnd"/>
      <w:r w:rsidR="003D5A41" w:rsidRPr="00D9553E">
        <w:rPr>
          <w:rFonts w:ascii="Times New Roman" w:hAnsi="Times New Roman" w:cs="Times New Roman"/>
          <w:sz w:val="24"/>
          <w:szCs w:val="24"/>
        </w:rPr>
        <w:t xml:space="preserve"> da una certa elasticità mostrata dal Consiglio di Stato nel valutare l’ulteriore requisito consistente nella impossibilità di fronteggiare la situazione di pericolo con i provvedimenti tipici già previsti dall'ordinamento</w:t>
      </w:r>
      <w:r w:rsidR="00D47A45" w:rsidRPr="00D9553E">
        <w:rPr>
          <w:rStyle w:val="Rimandonotaapidipagina"/>
          <w:rFonts w:ascii="Times New Roman" w:hAnsi="Times New Roman" w:cs="Times New Roman"/>
          <w:sz w:val="24"/>
          <w:szCs w:val="24"/>
        </w:rPr>
        <w:footnoteReference w:id="48"/>
      </w:r>
      <w:r w:rsidR="003D5A41" w:rsidRPr="00D9553E">
        <w:rPr>
          <w:rFonts w:ascii="Times New Roman" w:hAnsi="Times New Roman" w:cs="Times New Roman"/>
          <w:sz w:val="24"/>
          <w:szCs w:val="24"/>
        </w:rPr>
        <w:t>.</w:t>
      </w:r>
      <w:r w:rsidR="00692EC8" w:rsidRPr="00D9553E">
        <w:rPr>
          <w:rFonts w:ascii="Times New Roman" w:hAnsi="Times New Roman" w:cs="Times New Roman"/>
          <w:sz w:val="24"/>
          <w:szCs w:val="24"/>
        </w:rPr>
        <w:t xml:space="preserve"> </w:t>
      </w:r>
    </w:p>
    <w:p w14:paraId="4E4E1E87" w14:textId="54C0951B" w:rsidR="00900880" w:rsidRPr="00D9553E" w:rsidRDefault="00BF05B1"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692EC8" w:rsidRPr="00D9553E">
        <w:rPr>
          <w:rFonts w:ascii="Times New Roman" w:hAnsi="Times New Roman" w:cs="Times New Roman"/>
          <w:sz w:val="24"/>
          <w:szCs w:val="24"/>
        </w:rPr>
        <w:t xml:space="preserve">Nel solco di un allargamento delle maglie del potere sindacale di ordinanza si collocano le decisioni con le quali </w:t>
      </w:r>
      <w:proofErr w:type="gramStart"/>
      <w:r w:rsidR="001C69C7" w:rsidRPr="00D9553E">
        <w:rPr>
          <w:rFonts w:ascii="Times New Roman" w:hAnsi="Times New Roman" w:cs="Times New Roman"/>
          <w:sz w:val="24"/>
          <w:szCs w:val="24"/>
        </w:rPr>
        <w:t>è</w:t>
      </w:r>
      <w:proofErr w:type="gramEnd"/>
      <w:r w:rsidR="001C69C7" w:rsidRPr="00D9553E">
        <w:rPr>
          <w:rFonts w:ascii="Times New Roman" w:hAnsi="Times New Roman" w:cs="Times New Roman"/>
          <w:sz w:val="24"/>
          <w:szCs w:val="24"/>
        </w:rPr>
        <w:t xml:space="preserve"> stata riconosciuta la legittimità dell’ordinanza sindacale anche allorquando la situazione di pericolo fosse in concreto direttamente ascrivibile al mancato esercizio dei poteri ordinari da parte dell’Amministrazione</w:t>
      </w:r>
      <w:r w:rsidR="00EC2E7A" w:rsidRPr="00D9553E">
        <w:rPr>
          <w:rFonts w:ascii="Times New Roman" w:hAnsi="Times New Roman" w:cs="Times New Roman"/>
          <w:sz w:val="24"/>
          <w:szCs w:val="24"/>
        </w:rPr>
        <w:t xml:space="preserve"> (ad </w:t>
      </w:r>
      <w:r w:rsidR="00EC2E7A" w:rsidRPr="00D9553E">
        <w:rPr>
          <w:rFonts w:ascii="Times New Roman" w:hAnsi="Times New Roman" w:cs="Times New Roman"/>
          <w:sz w:val="24"/>
          <w:szCs w:val="24"/>
        </w:rPr>
        <w:lastRenderedPageBreak/>
        <w:t xml:space="preserve">esempio </w:t>
      </w:r>
      <w:r w:rsidR="00F60126" w:rsidRPr="00D9553E">
        <w:rPr>
          <w:rFonts w:ascii="Times New Roman" w:hAnsi="Times New Roman" w:cs="Times New Roman"/>
          <w:sz w:val="24"/>
          <w:szCs w:val="24"/>
        </w:rPr>
        <w:t>imponendo all’appaltatore</w:t>
      </w:r>
      <w:r w:rsidR="00EC2E7A" w:rsidRPr="00D9553E">
        <w:rPr>
          <w:rFonts w:ascii="Times New Roman" w:hAnsi="Times New Roman" w:cs="Times New Roman"/>
          <w:sz w:val="24"/>
          <w:szCs w:val="24"/>
        </w:rPr>
        <w:t xml:space="preserve"> la proroga del servizio di raccolta dei rifiuti</w:t>
      </w:r>
      <w:r w:rsidR="00205469" w:rsidRPr="00D9553E">
        <w:rPr>
          <w:rFonts w:ascii="Times New Roman" w:hAnsi="Times New Roman" w:cs="Times New Roman"/>
          <w:sz w:val="24"/>
          <w:szCs w:val="24"/>
        </w:rPr>
        <w:t>,</w:t>
      </w:r>
      <w:r w:rsidR="0092185B" w:rsidRPr="00D9553E">
        <w:rPr>
          <w:rFonts w:ascii="Times New Roman" w:hAnsi="Times New Roman" w:cs="Times New Roman"/>
          <w:sz w:val="24"/>
          <w:szCs w:val="24"/>
        </w:rPr>
        <w:t xml:space="preserve"> </w:t>
      </w:r>
      <w:r w:rsidR="00EC2E7A" w:rsidRPr="00D9553E">
        <w:rPr>
          <w:rFonts w:ascii="Times New Roman" w:hAnsi="Times New Roman" w:cs="Times New Roman"/>
          <w:sz w:val="24"/>
          <w:szCs w:val="24"/>
        </w:rPr>
        <w:t xml:space="preserve">nonostante la situazione di “urgenza” si fosse determinata per effetto dell’inerzia dell’Amministrazione finanche nel procedere all’affidamento </w:t>
      </w:r>
      <w:r w:rsidR="00FB0E42" w:rsidRPr="00D9553E">
        <w:rPr>
          <w:rFonts w:ascii="Times New Roman" w:hAnsi="Times New Roman" w:cs="Times New Roman"/>
          <w:sz w:val="24"/>
          <w:szCs w:val="24"/>
        </w:rPr>
        <w:t xml:space="preserve">temporaneo </w:t>
      </w:r>
      <w:r w:rsidR="00EC2E7A" w:rsidRPr="00D9553E">
        <w:rPr>
          <w:rFonts w:ascii="Times New Roman" w:hAnsi="Times New Roman" w:cs="Times New Roman"/>
          <w:sz w:val="24"/>
          <w:szCs w:val="24"/>
        </w:rPr>
        <w:t>del servizio a trattativa privata)</w:t>
      </w:r>
      <w:r w:rsidR="00435E84" w:rsidRPr="00D9553E">
        <w:rPr>
          <w:rStyle w:val="Rimandonotaapidipagina"/>
          <w:rFonts w:ascii="Times New Roman" w:hAnsi="Times New Roman" w:cs="Times New Roman"/>
          <w:sz w:val="24"/>
          <w:szCs w:val="24"/>
        </w:rPr>
        <w:footnoteReference w:id="49"/>
      </w:r>
      <w:proofErr w:type="gramStart"/>
      <w:r w:rsidR="005E1B0E" w:rsidRPr="00D9553E">
        <w:rPr>
          <w:rFonts w:ascii="Times New Roman" w:hAnsi="Times New Roman" w:cs="Times New Roman"/>
          <w:sz w:val="24"/>
          <w:szCs w:val="24"/>
        </w:rPr>
        <w:t>.</w:t>
      </w:r>
    </w:p>
    <w:p w14:paraId="25F60992" w14:textId="5A42B486" w:rsidR="00D47A45" w:rsidRPr="00D9553E" w:rsidRDefault="00BF05B1" w:rsidP="00E9248E">
      <w:pPr>
        <w:spacing w:after="0" w:line="360" w:lineRule="auto"/>
        <w:contextualSpacing/>
        <w:jc w:val="both"/>
        <w:rPr>
          <w:rFonts w:ascii="Times New Roman" w:hAnsi="Times New Roman" w:cs="Times New Roman"/>
          <w:sz w:val="24"/>
          <w:szCs w:val="24"/>
        </w:rPr>
      </w:pPr>
      <w:proofErr w:type="gramEnd"/>
      <w:r>
        <w:rPr>
          <w:rFonts w:ascii="Times New Roman" w:hAnsi="Times New Roman" w:cs="Times New Roman"/>
          <w:sz w:val="24"/>
          <w:szCs w:val="24"/>
        </w:rPr>
        <w:tab/>
      </w:r>
      <w:r w:rsidR="00D47A45" w:rsidRPr="00D9553E">
        <w:rPr>
          <w:rFonts w:ascii="Times New Roman" w:hAnsi="Times New Roman" w:cs="Times New Roman"/>
          <w:sz w:val="24"/>
          <w:szCs w:val="24"/>
        </w:rPr>
        <w:t>Tu</w:t>
      </w:r>
      <w:r w:rsidR="00C57ABF" w:rsidRPr="00D9553E">
        <w:rPr>
          <w:rFonts w:ascii="Times New Roman" w:hAnsi="Times New Roman" w:cs="Times New Roman"/>
          <w:sz w:val="24"/>
          <w:szCs w:val="24"/>
        </w:rPr>
        <w:t>ttavia</w:t>
      </w:r>
      <w:r>
        <w:rPr>
          <w:rFonts w:ascii="Times New Roman" w:hAnsi="Times New Roman" w:cs="Times New Roman"/>
          <w:sz w:val="24"/>
          <w:szCs w:val="24"/>
        </w:rPr>
        <w:t>,</w:t>
      </w:r>
      <w:r w:rsidR="00C57ABF" w:rsidRPr="00D9553E">
        <w:rPr>
          <w:rFonts w:ascii="Times New Roman" w:hAnsi="Times New Roman" w:cs="Times New Roman"/>
          <w:sz w:val="24"/>
          <w:szCs w:val="24"/>
        </w:rPr>
        <w:t xml:space="preserve"> la Corte costituzionale </w:t>
      </w:r>
      <w:r w:rsidR="00D47A45" w:rsidRPr="00D9553E">
        <w:rPr>
          <w:rFonts w:ascii="Times New Roman" w:hAnsi="Times New Roman" w:cs="Times New Roman"/>
          <w:sz w:val="24"/>
          <w:szCs w:val="24"/>
        </w:rPr>
        <w:t xml:space="preserve">ha osservato che il </w:t>
      </w:r>
      <w:r w:rsidR="00630807" w:rsidRPr="00D9553E">
        <w:rPr>
          <w:rFonts w:ascii="Times New Roman" w:hAnsi="Times New Roman" w:cs="Times New Roman"/>
          <w:sz w:val="24"/>
          <w:szCs w:val="24"/>
        </w:rPr>
        <w:t>principio</w:t>
      </w:r>
      <w:r w:rsidR="00D47A45" w:rsidRPr="00D9553E">
        <w:rPr>
          <w:rFonts w:ascii="Times New Roman" w:hAnsi="Times New Roman" w:cs="Times New Roman"/>
          <w:sz w:val="24"/>
          <w:szCs w:val="24"/>
        </w:rPr>
        <w:t xml:space="preserve"> di legalità sostanziale posto alla base dello Stato di diritto </w:t>
      </w:r>
      <w:r w:rsidR="00C57ABF" w:rsidRPr="00D9553E">
        <w:rPr>
          <w:rFonts w:ascii="Times New Roman" w:hAnsi="Times New Roman" w:cs="Times New Roman"/>
          <w:sz w:val="24"/>
          <w:szCs w:val="24"/>
        </w:rPr>
        <w:t>«non consente “l'assoluta indeterminatezza”</w:t>
      </w:r>
      <w:r w:rsidR="00D47A45" w:rsidRPr="00D9553E">
        <w:rPr>
          <w:rFonts w:ascii="Times New Roman" w:hAnsi="Times New Roman" w:cs="Times New Roman"/>
          <w:sz w:val="24"/>
          <w:szCs w:val="24"/>
        </w:rPr>
        <w:t xml:space="preserve"> del potere conferito dalla legge </w:t>
      </w:r>
      <w:proofErr w:type="gramStart"/>
      <w:r w:rsidR="00D47A45" w:rsidRPr="00D9553E">
        <w:rPr>
          <w:rFonts w:ascii="Times New Roman" w:hAnsi="Times New Roman" w:cs="Times New Roman"/>
          <w:sz w:val="24"/>
          <w:szCs w:val="24"/>
        </w:rPr>
        <w:t>ad</w:t>
      </w:r>
      <w:proofErr w:type="gramEnd"/>
      <w:r w:rsidR="00D47A45" w:rsidRPr="00D9553E">
        <w:rPr>
          <w:rFonts w:ascii="Times New Roman" w:hAnsi="Times New Roman" w:cs="Times New Roman"/>
          <w:sz w:val="24"/>
          <w:szCs w:val="24"/>
        </w:rPr>
        <w:t xml:space="preserve"> una autorità amministrativa, che produce l'effetto </w:t>
      </w:r>
      <w:r w:rsidR="00C57ABF" w:rsidRPr="00D9553E">
        <w:rPr>
          <w:rFonts w:ascii="Times New Roman" w:hAnsi="Times New Roman" w:cs="Times New Roman"/>
          <w:sz w:val="24"/>
          <w:szCs w:val="24"/>
        </w:rPr>
        <w:t>di attribuire, in pratica, una “totale libertà”</w:t>
      </w:r>
      <w:r w:rsidR="00D47A45" w:rsidRPr="00D9553E">
        <w:rPr>
          <w:rFonts w:ascii="Times New Roman" w:hAnsi="Times New Roman" w:cs="Times New Roman"/>
          <w:sz w:val="24"/>
          <w:szCs w:val="24"/>
        </w:rPr>
        <w:t xml:space="preserve"> al soggetto od o</w:t>
      </w:r>
      <w:r w:rsidR="00C57ABF" w:rsidRPr="00D9553E">
        <w:rPr>
          <w:rFonts w:ascii="Times New Roman" w:hAnsi="Times New Roman" w:cs="Times New Roman"/>
          <w:sz w:val="24"/>
          <w:szCs w:val="24"/>
        </w:rPr>
        <w:t>rgano investito della funzione</w:t>
      </w:r>
      <w:r w:rsidR="00435E84" w:rsidRPr="00D9553E">
        <w:rPr>
          <w:rFonts w:ascii="Times New Roman" w:hAnsi="Times New Roman" w:cs="Times New Roman"/>
          <w:sz w:val="24"/>
          <w:szCs w:val="24"/>
        </w:rPr>
        <w:t>.</w:t>
      </w:r>
      <w:r w:rsidR="00C57ABF" w:rsidRPr="00D9553E">
        <w:rPr>
          <w:rFonts w:ascii="Times New Roman" w:hAnsi="Times New Roman" w:cs="Times New Roman"/>
          <w:sz w:val="24"/>
          <w:szCs w:val="24"/>
        </w:rPr>
        <w:t xml:space="preserve"> </w:t>
      </w:r>
      <w:r w:rsidR="00D47A45" w:rsidRPr="00D9553E">
        <w:rPr>
          <w:rFonts w:ascii="Times New Roman" w:hAnsi="Times New Roman" w:cs="Times New Roman"/>
          <w:sz w:val="24"/>
          <w:szCs w:val="24"/>
        </w:rPr>
        <w:t xml:space="preserve">Non è sufficiente che il potere sia </w:t>
      </w:r>
      <w:proofErr w:type="gramStart"/>
      <w:r w:rsidR="00D47A45" w:rsidRPr="00D9553E">
        <w:rPr>
          <w:rFonts w:ascii="Times New Roman" w:hAnsi="Times New Roman" w:cs="Times New Roman"/>
          <w:sz w:val="24"/>
          <w:szCs w:val="24"/>
        </w:rPr>
        <w:t>finalizzato</w:t>
      </w:r>
      <w:proofErr w:type="gramEnd"/>
      <w:r w:rsidR="00D47A45" w:rsidRPr="00D9553E">
        <w:rPr>
          <w:rFonts w:ascii="Times New Roman" w:hAnsi="Times New Roman" w:cs="Times New Roman"/>
          <w:sz w:val="24"/>
          <w:szCs w:val="24"/>
        </w:rPr>
        <w:t xml:space="preserve"> dalla legge alla tutela di un bene o di un valore, ma è indispensabile che il suo esercizio sia determinato nel contenuto e nelle modalità, in modo da mantenere costantemente una, pur elastica, copertura legislativa dell'azione amministrativa</w:t>
      </w:r>
      <w:r w:rsidR="00C57ABF" w:rsidRPr="00D9553E">
        <w:rPr>
          <w:rFonts w:ascii="Times New Roman" w:hAnsi="Times New Roman" w:cs="Times New Roman"/>
          <w:sz w:val="24"/>
          <w:szCs w:val="24"/>
        </w:rPr>
        <w:t>»</w:t>
      </w:r>
      <w:r w:rsidR="00C57ABF" w:rsidRPr="00D9553E">
        <w:rPr>
          <w:rStyle w:val="Rimandonotaapidipagina"/>
          <w:rFonts w:ascii="Times New Roman" w:hAnsi="Times New Roman" w:cs="Times New Roman"/>
          <w:sz w:val="24"/>
          <w:szCs w:val="24"/>
        </w:rPr>
        <w:footnoteReference w:id="50"/>
      </w:r>
      <w:proofErr w:type="gramStart"/>
      <w:r w:rsidR="00D47A45" w:rsidRPr="00D9553E">
        <w:rPr>
          <w:rFonts w:ascii="Times New Roman" w:hAnsi="Times New Roman" w:cs="Times New Roman"/>
          <w:sz w:val="24"/>
          <w:szCs w:val="24"/>
        </w:rPr>
        <w:t>.</w:t>
      </w:r>
    </w:p>
    <w:p w14:paraId="6AD9E86C" w14:textId="1F483AE2" w:rsidR="00AF70F5" w:rsidRPr="00D9553E" w:rsidRDefault="00935F65" w:rsidP="00E9248E">
      <w:pPr>
        <w:spacing w:after="0" w:line="360" w:lineRule="auto"/>
        <w:contextualSpacing/>
        <w:jc w:val="both"/>
        <w:rPr>
          <w:rFonts w:ascii="Times New Roman" w:hAnsi="Times New Roman" w:cs="Times New Roman"/>
          <w:sz w:val="24"/>
          <w:szCs w:val="24"/>
        </w:rPr>
      </w:pPr>
      <w:proofErr w:type="gramEnd"/>
      <w:r>
        <w:rPr>
          <w:rFonts w:ascii="Times New Roman" w:hAnsi="Times New Roman" w:cs="Times New Roman"/>
          <w:sz w:val="24"/>
          <w:szCs w:val="24"/>
        </w:rPr>
        <w:tab/>
      </w:r>
      <w:r w:rsidR="00D47A45" w:rsidRPr="00D9553E">
        <w:rPr>
          <w:rFonts w:ascii="Times New Roman" w:hAnsi="Times New Roman" w:cs="Times New Roman"/>
          <w:sz w:val="24"/>
          <w:szCs w:val="24"/>
        </w:rPr>
        <w:t>Sulla scorta di tali riflessioni</w:t>
      </w:r>
      <w:r w:rsidR="00205469" w:rsidRPr="00D9553E">
        <w:rPr>
          <w:rFonts w:ascii="Times New Roman" w:hAnsi="Times New Roman" w:cs="Times New Roman"/>
          <w:sz w:val="24"/>
          <w:szCs w:val="24"/>
        </w:rPr>
        <w:t xml:space="preserve">, </w:t>
      </w:r>
      <w:r w:rsidR="00F60126" w:rsidRPr="00D9553E">
        <w:rPr>
          <w:rFonts w:ascii="Times New Roman" w:hAnsi="Times New Roman" w:cs="Times New Roman"/>
          <w:sz w:val="24"/>
          <w:szCs w:val="24"/>
        </w:rPr>
        <w:t>l’allargamento delle maglie del potere d’ordinanza</w:t>
      </w:r>
      <w:r w:rsidR="00CB63C4">
        <w:rPr>
          <w:rFonts w:ascii="Times New Roman" w:hAnsi="Times New Roman" w:cs="Times New Roman"/>
          <w:sz w:val="24"/>
          <w:szCs w:val="24"/>
        </w:rPr>
        <w:t>,</w:t>
      </w:r>
      <w:r w:rsidR="00F60126" w:rsidRPr="00D9553E">
        <w:rPr>
          <w:rFonts w:ascii="Times New Roman" w:hAnsi="Times New Roman" w:cs="Times New Roman"/>
          <w:sz w:val="24"/>
          <w:szCs w:val="24"/>
        </w:rPr>
        <w:t xml:space="preserve"> </w:t>
      </w:r>
      <w:proofErr w:type="gramStart"/>
      <w:r w:rsidR="00F60126" w:rsidRPr="00D9553E">
        <w:rPr>
          <w:rFonts w:ascii="Times New Roman" w:hAnsi="Times New Roman" w:cs="Times New Roman"/>
          <w:sz w:val="24"/>
          <w:szCs w:val="24"/>
        </w:rPr>
        <w:t>siccome</w:t>
      </w:r>
      <w:proofErr w:type="gramEnd"/>
      <w:r w:rsidR="0092185B" w:rsidRPr="00D9553E">
        <w:rPr>
          <w:rFonts w:ascii="Times New Roman" w:hAnsi="Times New Roman" w:cs="Times New Roman"/>
          <w:sz w:val="24"/>
          <w:szCs w:val="24"/>
        </w:rPr>
        <w:t xml:space="preserve"> </w:t>
      </w:r>
      <w:r w:rsidR="00205469" w:rsidRPr="00D9553E">
        <w:rPr>
          <w:rFonts w:ascii="Times New Roman" w:hAnsi="Times New Roman" w:cs="Times New Roman"/>
          <w:sz w:val="24"/>
          <w:szCs w:val="24"/>
        </w:rPr>
        <w:t xml:space="preserve">emerse nel “diritto </w:t>
      </w:r>
      <w:r w:rsidR="00F60126" w:rsidRPr="00D9553E">
        <w:rPr>
          <w:rFonts w:ascii="Times New Roman" w:hAnsi="Times New Roman" w:cs="Times New Roman"/>
          <w:sz w:val="24"/>
          <w:szCs w:val="24"/>
        </w:rPr>
        <w:t>vivente</w:t>
      </w:r>
      <w:r w:rsidR="00205469" w:rsidRPr="00D9553E">
        <w:rPr>
          <w:rFonts w:ascii="Times New Roman" w:hAnsi="Times New Roman" w:cs="Times New Roman"/>
          <w:sz w:val="24"/>
          <w:szCs w:val="24"/>
        </w:rPr>
        <w:t>”,</w:t>
      </w:r>
      <w:r w:rsidR="00F60126" w:rsidRPr="00D9553E">
        <w:rPr>
          <w:rFonts w:ascii="Times New Roman" w:hAnsi="Times New Roman" w:cs="Times New Roman"/>
          <w:sz w:val="24"/>
          <w:szCs w:val="24"/>
        </w:rPr>
        <w:t xml:space="preserve"> </w:t>
      </w:r>
      <w:r w:rsidR="004F004D" w:rsidRPr="00D9553E">
        <w:rPr>
          <w:rFonts w:ascii="Times New Roman" w:hAnsi="Times New Roman" w:cs="Times New Roman"/>
          <w:sz w:val="24"/>
          <w:szCs w:val="24"/>
        </w:rPr>
        <w:t>merita</w:t>
      </w:r>
      <w:r w:rsidR="0092185B" w:rsidRPr="00D9553E">
        <w:rPr>
          <w:rFonts w:ascii="Times New Roman" w:hAnsi="Times New Roman" w:cs="Times New Roman"/>
          <w:sz w:val="24"/>
          <w:szCs w:val="24"/>
        </w:rPr>
        <w:t xml:space="preserve"> </w:t>
      </w:r>
      <w:r w:rsidR="00205469" w:rsidRPr="00D9553E">
        <w:rPr>
          <w:rFonts w:ascii="Times New Roman" w:hAnsi="Times New Roman" w:cs="Times New Roman"/>
          <w:sz w:val="24"/>
          <w:szCs w:val="24"/>
        </w:rPr>
        <w:t xml:space="preserve">probabilmente </w:t>
      </w:r>
      <w:r w:rsidR="004F004D" w:rsidRPr="00D9553E">
        <w:rPr>
          <w:rFonts w:ascii="Times New Roman" w:hAnsi="Times New Roman" w:cs="Times New Roman"/>
          <w:sz w:val="24"/>
          <w:szCs w:val="24"/>
        </w:rPr>
        <w:t xml:space="preserve">un ripensamento, anche </w:t>
      </w:r>
      <w:r w:rsidR="00205469" w:rsidRPr="00D9553E">
        <w:rPr>
          <w:rFonts w:ascii="Times New Roman" w:hAnsi="Times New Roman" w:cs="Times New Roman"/>
          <w:sz w:val="24"/>
          <w:szCs w:val="24"/>
        </w:rPr>
        <w:t xml:space="preserve">muovendo </w:t>
      </w:r>
      <w:r w:rsidR="004F004D" w:rsidRPr="00D9553E">
        <w:rPr>
          <w:rFonts w:ascii="Times New Roman" w:hAnsi="Times New Roman" w:cs="Times New Roman"/>
          <w:sz w:val="24"/>
          <w:szCs w:val="24"/>
        </w:rPr>
        <w:t>da un’interpretazione letterale e restrittiva delle norme attributive e</w:t>
      </w:r>
      <w:r w:rsidR="00205469" w:rsidRPr="00D9553E">
        <w:rPr>
          <w:rFonts w:ascii="Times New Roman" w:hAnsi="Times New Roman" w:cs="Times New Roman"/>
          <w:sz w:val="24"/>
          <w:szCs w:val="24"/>
        </w:rPr>
        <w:t xml:space="preserve"> da</w:t>
      </w:r>
      <w:r w:rsidR="0092185B" w:rsidRPr="00D9553E">
        <w:rPr>
          <w:rFonts w:ascii="Times New Roman" w:hAnsi="Times New Roman" w:cs="Times New Roman"/>
          <w:sz w:val="24"/>
          <w:szCs w:val="24"/>
        </w:rPr>
        <w:t xml:space="preserve"> </w:t>
      </w:r>
      <w:r w:rsidR="004F004D" w:rsidRPr="00D9553E">
        <w:rPr>
          <w:rFonts w:ascii="Times New Roman" w:hAnsi="Times New Roman" w:cs="Times New Roman"/>
          <w:sz w:val="24"/>
          <w:szCs w:val="24"/>
        </w:rPr>
        <w:t xml:space="preserve">uno scrutinio rigoroso sulla sussistenza dei presupposti per il relativo </w:t>
      </w:r>
      <w:r w:rsidR="00503D4A" w:rsidRPr="00D9553E">
        <w:rPr>
          <w:rFonts w:ascii="Times New Roman" w:hAnsi="Times New Roman" w:cs="Times New Roman"/>
          <w:sz w:val="24"/>
          <w:szCs w:val="24"/>
        </w:rPr>
        <w:t>legittimo</w:t>
      </w:r>
      <w:r w:rsidR="00451A95" w:rsidRPr="00D9553E">
        <w:rPr>
          <w:rFonts w:ascii="Times New Roman" w:hAnsi="Times New Roman" w:cs="Times New Roman"/>
          <w:sz w:val="24"/>
          <w:szCs w:val="24"/>
        </w:rPr>
        <w:t xml:space="preserve"> esercizio.</w:t>
      </w:r>
    </w:p>
    <w:p w14:paraId="44B674E4" w14:textId="77777777" w:rsidR="00AC3666" w:rsidRPr="00D9553E" w:rsidRDefault="00AC3666" w:rsidP="00E9248E">
      <w:pPr>
        <w:spacing w:after="0" w:line="360" w:lineRule="auto"/>
        <w:contextualSpacing/>
        <w:jc w:val="both"/>
        <w:rPr>
          <w:rFonts w:ascii="Times New Roman" w:hAnsi="Times New Roman" w:cs="Times New Roman"/>
          <w:i/>
          <w:sz w:val="24"/>
          <w:szCs w:val="24"/>
        </w:rPr>
      </w:pPr>
    </w:p>
    <w:p w14:paraId="1270D199" w14:textId="6E9418F8" w:rsidR="00206100" w:rsidRDefault="00AD2FFC" w:rsidP="00E9248E">
      <w:pPr>
        <w:spacing w:after="0" w:line="360" w:lineRule="auto"/>
        <w:contextualSpacing/>
        <w:jc w:val="both"/>
        <w:rPr>
          <w:rFonts w:ascii="Times New Roman" w:hAnsi="Times New Roman" w:cs="Times New Roman"/>
          <w:i/>
          <w:sz w:val="24"/>
          <w:szCs w:val="24"/>
        </w:rPr>
      </w:pPr>
      <w:r w:rsidRPr="00D9553E">
        <w:rPr>
          <w:rFonts w:ascii="Times New Roman" w:hAnsi="Times New Roman" w:cs="Times New Roman"/>
          <w:i/>
          <w:sz w:val="24"/>
          <w:szCs w:val="24"/>
        </w:rPr>
        <w:t xml:space="preserve">5. </w:t>
      </w:r>
      <w:r w:rsidR="00935F65">
        <w:rPr>
          <w:rFonts w:ascii="Times New Roman" w:hAnsi="Times New Roman" w:cs="Times New Roman"/>
          <w:i/>
          <w:sz w:val="24"/>
          <w:szCs w:val="24"/>
        </w:rPr>
        <w:tab/>
      </w:r>
      <w:proofErr w:type="gramStart"/>
      <w:r w:rsidR="00AC3666" w:rsidRPr="00D9553E">
        <w:rPr>
          <w:rFonts w:ascii="Times New Roman" w:hAnsi="Times New Roman" w:cs="Times New Roman"/>
          <w:i/>
          <w:sz w:val="24"/>
          <w:szCs w:val="24"/>
        </w:rPr>
        <w:t xml:space="preserve">Potere sindacale di ordinanza e </w:t>
      </w:r>
      <w:r w:rsidR="00630807" w:rsidRPr="00D9553E">
        <w:rPr>
          <w:rFonts w:ascii="Times New Roman" w:hAnsi="Times New Roman" w:cs="Times New Roman"/>
          <w:i/>
          <w:sz w:val="24"/>
          <w:szCs w:val="24"/>
        </w:rPr>
        <w:t>principio</w:t>
      </w:r>
      <w:r w:rsidR="00AC3666" w:rsidRPr="00D9553E">
        <w:rPr>
          <w:rFonts w:ascii="Times New Roman" w:hAnsi="Times New Roman" w:cs="Times New Roman"/>
          <w:i/>
          <w:sz w:val="24"/>
          <w:szCs w:val="24"/>
        </w:rPr>
        <w:t xml:space="preserve"> di precauzione</w:t>
      </w:r>
      <w:r w:rsidR="00206100">
        <w:rPr>
          <w:rFonts w:ascii="Times New Roman" w:hAnsi="Times New Roman" w:cs="Times New Roman"/>
          <w:i/>
          <w:sz w:val="24"/>
          <w:szCs w:val="24"/>
        </w:rPr>
        <w:t xml:space="preserve">: </w:t>
      </w:r>
      <w:r w:rsidR="00206100" w:rsidRPr="00206100">
        <w:rPr>
          <w:rFonts w:ascii="Times New Roman" w:hAnsi="Times New Roman" w:cs="Times New Roman"/>
          <w:i/>
          <w:sz w:val="24"/>
          <w:szCs w:val="24"/>
        </w:rPr>
        <w:t>il ruolo razionalizzante del principio di proporzionalità</w:t>
      </w:r>
      <w:r w:rsidR="00206100">
        <w:rPr>
          <w:rFonts w:ascii="Times New Roman" w:hAnsi="Times New Roman" w:cs="Times New Roman"/>
          <w:i/>
          <w:sz w:val="24"/>
          <w:szCs w:val="24"/>
        </w:rPr>
        <w:t>.</w:t>
      </w:r>
      <w:proofErr w:type="gramEnd"/>
    </w:p>
    <w:p w14:paraId="44D13495" w14:textId="77777777" w:rsidR="00935F65" w:rsidRPr="00D9553E" w:rsidRDefault="00935F65" w:rsidP="00E9248E">
      <w:pPr>
        <w:spacing w:after="0" w:line="360" w:lineRule="auto"/>
        <w:contextualSpacing/>
        <w:jc w:val="both"/>
        <w:rPr>
          <w:rFonts w:ascii="Times New Roman" w:hAnsi="Times New Roman" w:cs="Times New Roman"/>
          <w:i/>
          <w:sz w:val="24"/>
          <w:szCs w:val="24"/>
        </w:rPr>
      </w:pPr>
    </w:p>
    <w:p w14:paraId="267ED367" w14:textId="416493C4" w:rsidR="00AB2DE3" w:rsidRPr="00D9553E" w:rsidRDefault="00935F6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AB2DE3" w:rsidRPr="00D9553E">
        <w:rPr>
          <w:rFonts w:ascii="Times New Roman" w:hAnsi="Times New Roman" w:cs="Times New Roman"/>
          <w:sz w:val="24"/>
          <w:szCs w:val="24"/>
        </w:rPr>
        <w:t xml:space="preserve">In tale prospettiva, resta da chiedersi se il </w:t>
      </w:r>
      <w:r w:rsidR="00630807" w:rsidRPr="00D9553E">
        <w:rPr>
          <w:rFonts w:ascii="Times New Roman" w:hAnsi="Times New Roman" w:cs="Times New Roman"/>
          <w:sz w:val="24"/>
          <w:szCs w:val="24"/>
        </w:rPr>
        <w:t>principio</w:t>
      </w:r>
      <w:r w:rsidR="00AB2DE3" w:rsidRPr="00D9553E">
        <w:rPr>
          <w:rFonts w:ascii="Times New Roman" w:hAnsi="Times New Roman" w:cs="Times New Roman"/>
          <w:sz w:val="24"/>
          <w:szCs w:val="24"/>
        </w:rPr>
        <w:t xml:space="preserve"> di precauzione sia idoneo </w:t>
      </w:r>
      <w:r w:rsidR="001C75E7">
        <w:rPr>
          <w:rFonts w:ascii="Times New Roman" w:hAnsi="Times New Roman" w:cs="Times New Roman"/>
          <w:sz w:val="24"/>
          <w:szCs w:val="24"/>
        </w:rPr>
        <w:t>-</w:t>
      </w:r>
      <w:r w:rsidR="00D92BDE" w:rsidRPr="00D9553E">
        <w:rPr>
          <w:rFonts w:ascii="Times New Roman" w:hAnsi="Times New Roman" w:cs="Times New Roman"/>
          <w:sz w:val="24"/>
          <w:szCs w:val="24"/>
        </w:rPr>
        <w:t>come nei provvedimenti sindacali</w:t>
      </w:r>
      <w:r w:rsidR="0092185B" w:rsidRPr="00D9553E">
        <w:rPr>
          <w:rFonts w:ascii="Times New Roman" w:hAnsi="Times New Roman" w:cs="Times New Roman"/>
          <w:sz w:val="24"/>
          <w:szCs w:val="24"/>
        </w:rPr>
        <w:t xml:space="preserve"> </w:t>
      </w:r>
      <w:proofErr w:type="gramStart"/>
      <w:r w:rsidR="00126A04" w:rsidRPr="00D9553E">
        <w:rPr>
          <w:rFonts w:ascii="Times New Roman" w:hAnsi="Times New Roman" w:cs="Times New Roman"/>
          <w:sz w:val="24"/>
          <w:szCs w:val="24"/>
        </w:rPr>
        <w:t>innanzi</w:t>
      </w:r>
      <w:proofErr w:type="gramEnd"/>
      <w:r w:rsidR="00126A04" w:rsidRPr="00D9553E">
        <w:rPr>
          <w:rFonts w:ascii="Times New Roman" w:hAnsi="Times New Roman" w:cs="Times New Roman"/>
          <w:sz w:val="24"/>
          <w:szCs w:val="24"/>
        </w:rPr>
        <w:t xml:space="preserve"> richiamati</w:t>
      </w:r>
      <w:r w:rsidR="001C75E7">
        <w:rPr>
          <w:rFonts w:ascii="Times New Roman" w:hAnsi="Times New Roman" w:cs="Times New Roman"/>
          <w:sz w:val="24"/>
          <w:szCs w:val="24"/>
        </w:rPr>
        <w:t>-</w:t>
      </w:r>
      <w:r w:rsidR="00435E84" w:rsidRPr="00D9553E">
        <w:rPr>
          <w:rFonts w:ascii="Times New Roman" w:hAnsi="Times New Roman" w:cs="Times New Roman"/>
          <w:sz w:val="24"/>
          <w:szCs w:val="24"/>
        </w:rPr>
        <w:t xml:space="preserve"> </w:t>
      </w:r>
      <w:r w:rsidR="00AB2DE3" w:rsidRPr="00D9553E">
        <w:rPr>
          <w:rFonts w:ascii="Times New Roman" w:hAnsi="Times New Roman" w:cs="Times New Roman"/>
          <w:sz w:val="24"/>
          <w:szCs w:val="24"/>
        </w:rPr>
        <w:t>a</w:t>
      </w:r>
      <w:r w:rsidR="00AD2FFC" w:rsidRPr="00D9553E">
        <w:rPr>
          <w:rFonts w:ascii="Times New Roman" w:hAnsi="Times New Roman" w:cs="Times New Roman"/>
          <w:sz w:val="24"/>
          <w:szCs w:val="24"/>
        </w:rPr>
        <w:t xml:space="preserve"> fondare il potere di ordinanza.</w:t>
      </w:r>
      <w:r w:rsidR="00AB2DE3" w:rsidRPr="00D9553E">
        <w:rPr>
          <w:rFonts w:ascii="Times New Roman" w:hAnsi="Times New Roman" w:cs="Times New Roman"/>
          <w:sz w:val="24"/>
          <w:szCs w:val="24"/>
        </w:rPr>
        <w:t xml:space="preserve"> </w:t>
      </w:r>
    </w:p>
    <w:p w14:paraId="6A80D3C8" w14:textId="30AD7D22" w:rsidR="00B42900" w:rsidRPr="00D9553E" w:rsidRDefault="00935F6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126A04" w:rsidRPr="00D9553E">
        <w:rPr>
          <w:rFonts w:ascii="Times New Roman" w:hAnsi="Times New Roman" w:cs="Times New Roman"/>
          <w:sz w:val="24"/>
          <w:szCs w:val="24"/>
        </w:rPr>
        <w:t>Potrebbe pervero osservarsi che l</w:t>
      </w:r>
      <w:r w:rsidR="00AF70F5" w:rsidRPr="00D9553E">
        <w:rPr>
          <w:rFonts w:ascii="Times New Roman" w:hAnsi="Times New Roman" w:cs="Times New Roman"/>
          <w:sz w:val="24"/>
          <w:szCs w:val="24"/>
        </w:rPr>
        <w:t xml:space="preserve">a materia della “sanità </w:t>
      </w:r>
      <w:proofErr w:type="gramStart"/>
      <w:r w:rsidR="00AF70F5" w:rsidRPr="00D9553E">
        <w:rPr>
          <w:rFonts w:ascii="Times New Roman" w:hAnsi="Times New Roman" w:cs="Times New Roman"/>
          <w:sz w:val="24"/>
          <w:szCs w:val="24"/>
        </w:rPr>
        <w:t>ed</w:t>
      </w:r>
      <w:proofErr w:type="gramEnd"/>
      <w:r w:rsidR="00AF70F5" w:rsidRPr="00D9553E">
        <w:rPr>
          <w:rFonts w:ascii="Times New Roman" w:hAnsi="Times New Roman" w:cs="Times New Roman"/>
          <w:sz w:val="24"/>
          <w:szCs w:val="24"/>
        </w:rPr>
        <w:t xml:space="preserve"> igiene pubblica” è uno degli ambiti tradizionali nel quale il </w:t>
      </w:r>
      <w:r w:rsidR="00630807" w:rsidRPr="00D9553E">
        <w:rPr>
          <w:rFonts w:ascii="Times New Roman" w:hAnsi="Times New Roman" w:cs="Times New Roman"/>
          <w:sz w:val="24"/>
          <w:szCs w:val="24"/>
        </w:rPr>
        <w:t>principio</w:t>
      </w:r>
      <w:r w:rsidR="00AF70F5" w:rsidRPr="00D9553E">
        <w:rPr>
          <w:rFonts w:ascii="Times New Roman" w:hAnsi="Times New Roman" w:cs="Times New Roman"/>
          <w:sz w:val="24"/>
          <w:szCs w:val="24"/>
        </w:rPr>
        <w:t xml:space="preserve"> di precauzione può trovare applicazione. </w:t>
      </w:r>
    </w:p>
    <w:p w14:paraId="2A56DD76" w14:textId="0AA6440B" w:rsidR="00B1652E" w:rsidRPr="00D9553E" w:rsidRDefault="00935F6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AF70F5" w:rsidRPr="00D9553E">
        <w:rPr>
          <w:rFonts w:ascii="Times New Roman" w:hAnsi="Times New Roman" w:cs="Times New Roman"/>
          <w:sz w:val="24"/>
          <w:szCs w:val="24"/>
        </w:rPr>
        <w:t>Tuttavia</w:t>
      </w:r>
      <w:r w:rsidR="00230A23" w:rsidRPr="00D9553E">
        <w:rPr>
          <w:rFonts w:ascii="Times New Roman" w:hAnsi="Times New Roman" w:cs="Times New Roman"/>
          <w:sz w:val="24"/>
          <w:szCs w:val="24"/>
        </w:rPr>
        <w:t>,</w:t>
      </w:r>
      <w:r w:rsidR="0092185B" w:rsidRPr="00D9553E">
        <w:rPr>
          <w:rFonts w:ascii="Times New Roman" w:hAnsi="Times New Roman" w:cs="Times New Roman"/>
          <w:sz w:val="24"/>
          <w:szCs w:val="24"/>
        </w:rPr>
        <w:t xml:space="preserve"> </w:t>
      </w:r>
      <w:r w:rsidR="00AF70F5" w:rsidRPr="00D9553E">
        <w:rPr>
          <w:rFonts w:ascii="Times New Roman" w:hAnsi="Times New Roman" w:cs="Times New Roman"/>
          <w:sz w:val="24"/>
          <w:szCs w:val="24"/>
        </w:rPr>
        <w:t xml:space="preserve">se è vero che il potere di ordinanza </w:t>
      </w:r>
      <w:r w:rsidR="00AF70F5" w:rsidRPr="00D9553E">
        <w:rPr>
          <w:rFonts w:ascii="Times New Roman" w:hAnsi="Times New Roman" w:cs="Times New Roman"/>
          <w:i/>
          <w:sz w:val="24"/>
          <w:szCs w:val="24"/>
        </w:rPr>
        <w:t>ex</w:t>
      </w:r>
      <w:r w:rsidR="00AF70F5" w:rsidRPr="00D9553E">
        <w:rPr>
          <w:rFonts w:ascii="Times New Roman" w:hAnsi="Times New Roman" w:cs="Times New Roman"/>
          <w:sz w:val="24"/>
          <w:szCs w:val="24"/>
        </w:rPr>
        <w:t xml:space="preserve"> art. 50, co</w:t>
      </w:r>
      <w:r w:rsidR="00230A23" w:rsidRPr="00D9553E">
        <w:rPr>
          <w:rFonts w:ascii="Times New Roman" w:hAnsi="Times New Roman" w:cs="Times New Roman"/>
          <w:sz w:val="24"/>
          <w:szCs w:val="24"/>
        </w:rPr>
        <w:t>.</w:t>
      </w:r>
      <w:r w:rsidR="00AF70F5" w:rsidRPr="00D9553E">
        <w:rPr>
          <w:rFonts w:ascii="Times New Roman" w:hAnsi="Times New Roman" w:cs="Times New Roman"/>
          <w:sz w:val="24"/>
          <w:szCs w:val="24"/>
        </w:rPr>
        <w:t xml:space="preserve"> 4, </w:t>
      </w:r>
      <w:proofErr w:type="spellStart"/>
      <w:r w:rsidR="00AF70F5" w:rsidRPr="00D9553E">
        <w:rPr>
          <w:rFonts w:ascii="Times New Roman" w:hAnsi="Times New Roman" w:cs="Times New Roman"/>
          <w:sz w:val="24"/>
          <w:szCs w:val="24"/>
        </w:rPr>
        <w:t>t.u.e.l</w:t>
      </w:r>
      <w:proofErr w:type="spellEnd"/>
      <w:r w:rsidR="00AF70F5" w:rsidRPr="00D9553E">
        <w:rPr>
          <w:rFonts w:ascii="Times New Roman" w:hAnsi="Times New Roman" w:cs="Times New Roman"/>
          <w:sz w:val="24"/>
          <w:szCs w:val="24"/>
        </w:rPr>
        <w:t xml:space="preserve">. è previsto per far fronte a situazioni di pregiudizio per la “sanità e </w:t>
      </w:r>
      <w:proofErr w:type="gramStart"/>
      <w:r w:rsidR="00AF70F5" w:rsidRPr="00D9553E">
        <w:rPr>
          <w:rFonts w:ascii="Times New Roman" w:hAnsi="Times New Roman" w:cs="Times New Roman"/>
          <w:sz w:val="24"/>
          <w:szCs w:val="24"/>
        </w:rPr>
        <w:t>l’igiene pubblica” qualificabili</w:t>
      </w:r>
      <w:proofErr w:type="gramEnd"/>
      <w:r w:rsidR="00AF70F5" w:rsidRPr="00D9553E">
        <w:rPr>
          <w:rFonts w:ascii="Times New Roman" w:hAnsi="Times New Roman" w:cs="Times New Roman"/>
          <w:sz w:val="24"/>
          <w:szCs w:val="24"/>
        </w:rPr>
        <w:t xml:space="preserve"> come “emergenze”, allora lo spazio per la convivenza tra potere di ordinanza e </w:t>
      </w:r>
      <w:r w:rsidR="00630807" w:rsidRPr="00D9553E">
        <w:rPr>
          <w:rFonts w:ascii="Times New Roman" w:hAnsi="Times New Roman" w:cs="Times New Roman"/>
          <w:sz w:val="24"/>
          <w:szCs w:val="24"/>
        </w:rPr>
        <w:t>principio</w:t>
      </w:r>
      <w:r w:rsidR="00AF70F5" w:rsidRPr="00D9553E">
        <w:rPr>
          <w:rFonts w:ascii="Times New Roman" w:hAnsi="Times New Roman" w:cs="Times New Roman"/>
          <w:sz w:val="24"/>
          <w:szCs w:val="24"/>
        </w:rPr>
        <w:t xml:space="preserve"> di precauzione si comprime in maniera assi significativa. </w:t>
      </w:r>
      <w:proofErr w:type="gramStart"/>
      <w:r w:rsidR="00AF70F5" w:rsidRPr="00D9553E">
        <w:rPr>
          <w:rFonts w:ascii="Times New Roman" w:hAnsi="Times New Roman" w:cs="Times New Roman"/>
          <w:sz w:val="24"/>
          <w:szCs w:val="24"/>
        </w:rPr>
        <w:t>Ed</w:t>
      </w:r>
      <w:proofErr w:type="gramEnd"/>
      <w:r w:rsidR="00AF70F5" w:rsidRPr="00D9553E">
        <w:rPr>
          <w:rFonts w:ascii="Times New Roman" w:hAnsi="Times New Roman" w:cs="Times New Roman"/>
          <w:sz w:val="24"/>
          <w:szCs w:val="24"/>
        </w:rPr>
        <w:t xml:space="preserve"> infatti</w:t>
      </w:r>
      <w:r w:rsidR="00230A23" w:rsidRPr="00D9553E">
        <w:rPr>
          <w:rFonts w:ascii="Times New Roman" w:hAnsi="Times New Roman" w:cs="Times New Roman"/>
          <w:sz w:val="24"/>
          <w:szCs w:val="24"/>
        </w:rPr>
        <w:t>:</w:t>
      </w:r>
      <w:r w:rsidR="0092185B" w:rsidRPr="00D9553E">
        <w:rPr>
          <w:rFonts w:ascii="Times New Roman" w:hAnsi="Times New Roman" w:cs="Times New Roman"/>
          <w:sz w:val="24"/>
          <w:szCs w:val="24"/>
        </w:rPr>
        <w:t xml:space="preserve"> </w:t>
      </w:r>
      <w:r w:rsidR="00AF70F5" w:rsidRPr="00D9553E">
        <w:rPr>
          <w:rFonts w:ascii="Times New Roman" w:hAnsi="Times New Roman" w:cs="Times New Roman"/>
          <w:sz w:val="24"/>
          <w:szCs w:val="24"/>
        </w:rPr>
        <w:t>una situazione può esser definita di “emergenza” allorquando si sia prodotto (o rischi di prodursi) un pregiudizio talmente grave da richiedere un immediato intervento risolutore.</w:t>
      </w:r>
      <w:r w:rsidR="00AC3666" w:rsidRPr="00D9553E">
        <w:rPr>
          <w:rFonts w:ascii="Times New Roman" w:hAnsi="Times New Roman" w:cs="Times New Roman"/>
          <w:sz w:val="24"/>
          <w:szCs w:val="24"/>
        </w:rPr>
        <w:t xml:space="preserve"> </w:t>
      </w:r>
      <w:r w:rsidR="00AF70F5" w:rsidRPr="00D9553E">
        <w:rPr>
          <w:rFonts w:ascii="Times New Roman" w:hAnsi="Times New Roman" w:cs="Times New Roman"/>
          <w:sz w:val="24"/>
          <w:szCs w:val="24"/>
        </w:rPr>
        <w:t>Se così è</w:t>
      </w:r>
      <w:r w:rsidR="00435E84" w:rsidRPr="00D9553E">
        <w:rPr>
          <w:rFonts w:ascii="Times New Roman" w:hAnsi="Times New Roman" w:cs="Times New Roman"/>
          <w:sz w:val="24"/>
          <w:szCs w:val="24"/>
        </w:rPr>
        <w:t>,</w:t>
      </w:r>
      <w:r w:rsidR="00AF70F5" w:rsidRPr="00D9553E">
        <w:rPr>
          <w:rFonts w:ascii="Times New Roman" w:hAnsi="Times New Roman" w:cs="Times New Roman"/>
          <w:sz w:val="24"/>
          <w:szCs w:val="24"/>
        </w:rPr>
        <w:t xml:space="preserve"> </w:t>
      </w:r>
      <w:proofErr w:type="gramStart"/>
      <w:r w:rsidR="00AF70F5" w:rsidRPr="00D9553E">
        <w:rPr>
          <w:rFonts w:ascii="Times New Roman" w:hAnsi="Times New Roman" w:cs="Times New Roman"/>
          <w:sz w:val="24"/>
          <w:szCs w:val="24"/>
        </w:rPr>
        <w:t>pare difficile</w:t>
      </w:r>
      <w:proofErr w:type="gramEnd"/>
      <w:r w:rsidR="00AF70F5" w:rsidRPr="00D9553E">
        <w:rPr>
          <w:rFonts w:ascii="Times New Roman" w:hAnsi="Times New Roman" w:cs="Times New Roman"/>
          <w:sz w:val="24"/>
          <w:szCs w:val="24"/>
        </w:rPr>
        <w:t xml:space="preserve"> immaginare che il </w:t>
      </w:r>
      <w:r w:rsidR="00630807" w:rsidRPr="00D9553E">
        <w:rPr>
          <w:rFonts w:ascii="Times New Roman" w:hAnsi="Times New Roman" w:cs="Times New Roman"/>
          <w:sz w:val="24"/>
          <w:szCs w:val="24"/>
        </w:rPr>
        <w:t>principio</w:t>
      </w:r>
      <w:r w:rsidR="00AF70F5" w:rsidRPr="00D9553E">
        <w:rPr>
          <w:rFonts w:ascii="Times New Roman" w:hAnsi="Times New Roman" w:cs="Times New Roman"/>
          <w:sz w:val="24"/>
          <w:szCs w:val="24"/>
        </w:rPr>
        <w:t xml:space="preserve"> di precauzione -che</w:t>
      </w:r>
      <w:r w:rsidR="00230A23" w:rsidRPr="00D9553E">
        <w:rPr>
          <w:rFonts w:ascii="Times New Roman" w:hAnsi="Times New Roman" w:cs="Times New Roman"/>
          <w:sz w:val="24"/>
          <w:szCs w:val="24"/>
        </w:rPr>
        <w:t>,</w:t>
      </w:r>
      <w:r w:rsidR="00AF70F5" w:rsidRPr="00D9553E">
        <w:rPr>
          <w:rFonts w:ascii="Times New Roman" w:hAnsi="Times New Roman" w:cs="Times New Roman"/>
          <w:sz w:val="24"/>
          <w:szCs w:val="24"/>
        </w:rPr>
        <w:t xml:space="preserve"> come</w:t>
      </w:r>
      <w:r w:rsidR="0092185B" w:rsidRPr="00D9553E">
        <w:rPr>
          <w:rFonts w:ascii="Times New Roman" w:hAnsi="Times New Roman" w:cs="Times New Roman"/>
          <w:sz w:val="24"/>
          <w:szCs w:val="24"/>
        </w:rPr>
        <w:t xml:space="preserve"> </w:t>
      </w:r>
      <w:r w:rsidR="00230A23" w:rsidRPr="00D9553E">
        <w:rPr>
          <w:rFonts w:ascii="Times New Roman" w:hAnsi="Times New Roman" w:cs="Times New Roman"/>
          <w:sz w:val="24"/>
          <w:szCs w:val="24"/>
        </w:rPr>
        <w:t>si è</w:t>
      </w:r>
      <w:r w:rsidR="0092185B" w:rsidRPr="00D9553E">
        <w:rPr>
          <w:rFonts w:ascii="Times New Roman" w:hAnsi="Times New Roman" w:cs="Times New Roman"/>
          <w:sz w:val="24"/>
          <w:szCs w:val="24"/>
        </w:rPr>
        <w:t xml:space="preserve"> </w:t>
      </w:r>
      <w:r w:rsidR="00AF70F5" w:rsidRPr="00D9553E">
        <w:rPr>
          <w:rFonts w:ascii="Times New Roman" w:hAnsi="Times New Roman" w:cs="Times New Roman"/>
          <w:sz w:val="24"/>
          <w:szCs w:val="24"/>
        </w:rPr>
        <w:t>ricordato</w:t>
      </w:r>
      <w:r w:rsidR="00230A23" w:rsidRPr="00D9553E">
        <w:rPr>
          <w:rFonts w:ascii="Times New Roman" w:hAnsi="Times New Roman" w:cs="Times New Roman"/>
          <w:sz w:val="24"/>
          <w:szCs w:val="24"/>
        </w:rPr>
        <w:t>,</w:t>
      </w:r>
      <w:r w:rsidR="0092185B" w:rsidRPr="00D9553E">
        <w:rPr>
          <w:rFonts w:ascii="Times New Roman" w:hAnsi="Times New Roman" w:cs="Times New Roman"/>
          <w:sz w:val="24"/>
          <w:szCs w:val="24"/>
        </w:rPr>
        <w:t xml:space="preserve"> </w:t>
      </w:r>
      <w:r w:rsidR="00AF70F5" w:rsidRPr="00D9553E">
        <w:rPr>
          <w:rFonts w:ascii="Times New Roman" w:hAnsi="Times New Roman" w:cs="Times New Roman"/>
          <w:sz w:val="24"/>
          <w:szCs w:val="24"/>
        </w:rPr>
        <w:t>postula il preventivo svolgimento di una valutazione quanto più possibile completa dei rischi calata nella concretezza del contesto s</w:t>
      </w:r>
      <w:r w:rsidR="00943BE7" w:rsidRPr="00D9553E">
        <w:rPr>
          <w:rFonts w:ascii="Times New Roman" w:hAnsi="Times New Roman" w:cs="Times New Roman"/>
          <w:sz w:val="24"/>
          <w:szCs w:val="24"/>
        </w:rPr>
        <w:t>pazio-temporale di riferimento</w:t>
      </w:r>
      <w:r w:rsidR="00AF70F5" w:rsidRPr="00D9553E">
        <w:rPr>
          <w:rFonts w:ascii="Times New Roman" w:hAnsi="Times New Roman" w:cs="Times New Roman"/>
          <w:sz w:val="24"/>
          <w:szCs w:val="24"/>
        </w:rPr>
        <w:t xml:space="preserve">- sia idoneo a fondare (o a rafforzare) il potere sindacale di ordinanza </w:t>
      </w:r>
      <w:r w:rsidR="00AF70F5" w:rsidRPr="00D9553E">
        <w:rPr>
          <w:rFonts w:ascii="Times New Roman" w:hAnsi="Times New Roman" w:cs="Times New Roman"/>
          <w:i/>
          <w:sz w:val="24"/>
          <w:szCs w:val="24"/>
        </w:rPr>
        <w:t>ex art</w:t>
      </w:r>
      <w:r w:rsidR="00AF70F5" w:rsidRPr="00D9553E">
        <w:rPr>
          <w:rFonts w:ascii="Times New Roman" w:hAnsi="Times New Roman" w:cs="Times New Roman"/>
          <w:sz w:val="24"/>
          <w:szCs w:val="24"/>
        </w:rPr>
        <w:t>. 50, co</w:t>
      </w:r>
      <w:r w:rsidR="00B1652E" w:rsidRPr="00D9553E">
        <w:rPr>
          <w:rFonts w:ascii="Times New Roman" w:hAnsi="Times New Roman" w:cs="Times New Roman"/>
          <w:sz w:val="24"/>
          <w:szCs w:val="24"/>
        </w:rPr>
        <w:t>.</w:t>
      </w:r>
      <w:r w:rsidR="00AF70F5" w:rsidRPr="00D9553E">
        <w:rPr>
          <w:rFonts w:ascii="Times New Roman" w:hAnsi="Times New Roman" w:cs="Times New Roman"/>
          <w:sz w:val="24"/>
          <w:szCs w:val="24"/>
        </w:rPr>
        <w:t xml:space="preserve"> 4, riconosciuto dall’ordinamento per consentire all’Amministrazione di adottare nell’immediatezza provvedimenti idonei a </w:t>
      </w:r>
      <w:proofErr w:type="gramStart"/>
      <w:r w:rsidR="00AF70F5" w:rsidRPr="00D9553E">
        <w:rPr>
          <w:rFonts w:ascii="Times New Roman" w:hAnsi="Times New Roman" w:cs="Times New Roman"/>
          <w:sz w:val="24"/>
          <w:szCs w:val="24"/>
        </w:rPr>
        <w:t>scongiurare</w:t>
      </w:r>
      <w:proofErr w:type="gramEnd"/>
      <w:r w:rsidR="00AF70F5" w:rsidRPr="00D9553E">
        <w:rPr>
          <w:rFonts w:ascii="Times New Roman" w:hAnsi="Times New Roman" w:cs="Times New Roman"/>
          <w:sz w:val="24"/>
          <w:szCs w:val="24"/>
        </w:rPr>
        <w:t xml:space="preserve"> un’emergenza.</w:t>
      </w:r>
    </w:p>
    <w:p w14:paraId="6B4996CA" w14:textId="67568321" w:rsidR="00AF70F5" w:rsidRPr="00D9553E" w:rsidRDefault="00935F6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AB2DE3" w:rsidRPr="00D9553E">
        <w:rPr>
          <w:rFonts w:ascii="Times New Roman" w:hAnsi="Times New Roman" w:cs="Times New Roman"/>
          <w:sz w:val="24"/>
          <w:szCs w:val="24"/>
        </w:rPr>
        <w:t>In altri termini</w:t>
      </w:r>
      <w:r w:rsidR="00B41B66" w:rsidRPr="00D9553E">
        <w:rPr>
          <w:rFonts w:ascii="Times New Roman" w:hAnsi="Times New Roman" w:cs="Times New Roman"/>
          <w:sz w:val="24"/>
          <w:szCs w:val="24"/>
        </w:rPr>
        <w:t>:</w:t>
      </w:r>
      <w:r w:rsidR="0092185B" w:rsidRPr="00D9553E">
        <w:rPr>
          <w:rFonts w:ascii="Times New Roman" w:hAnsi="Times New Roman" w:cs="Times New Roman"/>
          <w:sz w:val="24"/>
          <w:szCs w:val="24"/>
        </w:rPr>
        <w:t xml:space="preserve"> </w:t>
      </w:r>
      <w:proofErr w:type="gramStart"/>
      <w:r w:rsidR="00AB2DE3" w:rsidRPr="00D9553E">
        <w:rPr>
          <w:rFonts w:ascii="Times New Roman" w:hAnsi="Times New Roman" w:cs="Times New Roman"/>
          <w:sz w:val="24"/>
          <w:szCs w:val="24"/>
        </w:rPr>
        <w:t>i</w:t>
      </w:r>
      <w:r w:rsidR="00AF70F5" w:rsidRPr="00D9553E">
        <w:rPr>
          <w:rFonts w:ascii="Times New Roman" w:hAnsi="Times New Roman" w:cs="Times New Roman"/>
          <w:sz w:val="24"/>
          <w:szCs w:val="24"/>
        </w:rPr>
        <w:t>n presenza</w:t>
      </w:r>
      <w:proofErr w:type="gramEnd"/>
      <w:r w:rsidR="00AF70F5" w:rsidRPr="00D9553E">
        <w:rPr>
          <w:rFonts w:ascii="Times New Roman" w:hAnsi="Times New Roman" w:cs="Times New Roman"/>
          <w:sz w:val="24"/>
          <w:szCs w:val="24"/>
        </w:rPr>
        <w:t xml:space="preserve"> di situazioni di pregiudizio per la salute e l’igiene di tale gravità da poter esser considerate alla stregua di un’ “emergenza”, l’ur</w:t>
      </w:r>
      <w:r w:rsidR="00BB3E76" w:rsidRPr="00D9553E">
        <w:rPr>
          <w:rFonts w:ascii="Times New Roman" w:hAnsi="Times New Roman" w:cs="Times New Roman"/>
          <w:sz w:val="24"/>
          <w:szCs w:val="24"/>
        </w:rPr>
        <w:t>genza di provvedere non consentirebbe</w:t>
      </w:r>
      <w:r w:rsidR="00AF70F5" w:rsidRPr="00D9553E">
        <w:rPr>
          <w:rFonts w:ascii="Times New Roman" w:hAnsi="Times New Roman" w:cs="Times New Roman"/>
          <w:sz w:val="24"/>
          <w:szCs w:val="24"/>
        </w:rPr>
        <w:t xml:space="preserve"> di svolgere quell’approfondita “valutazione del rischio” (in termini scientifici) che costituisce il necessario presupposto per la “gestione del rischio” in termini di precauzione.</w:t>
      </w:r>
    </w:p>
    <w:p w14:paraId="012ABC3F" w14:textId="7A1CCC1B" w:rsidR="00AF70F5" w:rsidRPr="00D9553E" w:rsidRDefault="00935F6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AF70F5" w:rsidRPr="00D9553E">
        <w:rPr>
          <w:rFonts w:ascii="Times New Roman" w:hAnsi="Times New Roman" w:cs="Times New Roman"/>
          <w:sz w:val="24"/>
          <w:szCs w:val="24"/>
        </w:rPr>
        <w:t xml:space="preserve">Anche </w:t>
      </w:r>
      <w:proofErr w:type="gramStart"/>
      <w:r w:rsidR="00AF70F5" w:rsidRPr="00D9553E">
        <w:rPr>
          <w:rFonts w:ascii="Times New Roman" w:hAnsi="Times New Roman" w:cs="Times New Roman"/>
          <w:sz w:val="24"/>
          <w:szCs w:val="24"/>
        </w:rPr>
        <w:t>in relazione alle</w:t>
      </w:r>
      <w:proofErr w:type="gramEnd"/>
      <w:r w:rsidR="00AF70F5" w:rsidRPr="00D9553E">
        <w:rPr>
          <w:rFonts w:ascii="Times New Roman" w:hAnsi="Times New Roman" w:cs="Times New Roman"/>
          <w:sz w:val="24"/>
          <w:szCs w:val="24"/>
        </w:rPr>
        <w:t xml:space="preserve"> o</w:t>
      </w:r>
      <w:r w:rsidR="00DF05BB" w:rsidRPr="00D9553E">
        <w:rPr>
          <w:rFonts w:ascii="Times New Roman" w:hAnsi="Times New Roman" w:cs="Times New Roman"/>
          <w:sz w:val="24"/>
          <w:szCs w:val="24"/>
        </w:rPr>
        <w:t xml:space="preserve">rdinanze adottate dal </w:t>
      </w:r>
      <w:r w:rsidR="00435E84" w:rsidRPr="00D9553E">
        <w:rPr>
          <w:rFonts w:ascii="Times New Roman" w:hAnsi="Times New Roman" w:cs="Times New Roman"/>
          <w:sz w:val="24"/>
          <w:szCs w:val="24"/>
        </w:rPr>
        <w:t>S</w:t>
      </w:r>
      <w:r w:rsidR="00DF05BB" w:rsidRPr="00D9553E">
        <w:rPr>
          <w:rFonts w:ascii="Times New Roman" w:hAnsi="Times New Roman" w:cs="Times New Roman"/>
          <w:sz w:val="24"/>
          <w:szCs w:val="24"/>
        </w:rPr>
        <w:t xml:space="preserve">indaco quale ufficiale di governo </w:t>
      </w:r>
      <w:r w:rsidR="00AF70F5" w:rsidRPr="00D9553E">
        <w:rPr>
          <w:rFonts w:ascii="Times New Roman" w:hAnsi="Times New Roman" w:cs="Times New Roman"/>
          <w:sz w:val="24"/>
          <w:szCs w:val="24"/>
        </w:rPr>
        <w:t xml:space="preserve">per fronteggiare </w:t>
      </w:r>
      <w:r w:rsidR="00D92BDE" w:rsidRPr="00D9553E">
        <w:rPr>
          <w:rFonts w:ascii="Times New Roman" w:hAnsi="Times New Roman" w:cs="Times New Roman"/>
          <w:i/>
          <w:sz w:val="24"/>
          <w:szCs w:val="24"/>
        </w:rPr>
        <w:t>“</w:t>
      </w:r>
      <w:r w:rsidR="00AF70F5" w:rsidRPr="00D9553E">
        <w:rPr>
          <w:rFonts w:ascii="Times New Roman" w:hAnsi="Times New Roman" w:cs="Times New Roman"/>
          <w:sz w:val="24"/>
          <w:szCs w:val="24"/>
        </w:rPr>
        <w:t>gravi pericoli che minacciano l'incolumità pubblica e la sicurezza u</w:t>
      </w:r>
      <w:r w:rsidR="00D92BDE" w:rsidRPr="00D9553E">
        <w:rPr>
          <w:rFonts w:ascii="Times New Roman" w:hAnsi="Times New Roman" w:cs="Times New Roman"/>
          <w:sz w:val="24"/>
          <w:szCs w:val="24"/>
        </w:rPr>
        <w:t>rbana</w:t>
      </w:r>
      <w:r w:rsidR="00D92BDE" w:rsidRPr="00D9553E">
        <w:rPr>
          <w:rFonts w:ascii="Times New Roman" w:hAnsi="Times New Roman" w:cs="Times New Roman"/>
          <w:i/>
          <w:sz w:val="24"/>
          <w:szCs w:val="24"/>
        </w:rPr>
        <w:t>”</w:t>
      </w:r>
      <w:r w:rsidR="00AF70F5" w:rsidRPr="00D9553E">
        <w:rPr>
          <w:rFonts w:ascii="Times New Roman" w:hAnsi="Times New Roman" w:cs="Times New Roman"/>
          <w:sz w:val="24"/>
          <w:szCs w:val="24"/>
        </w:rPr>
        <w:t xml:space="preserve"> </w:t>
      </w:r>
      <w:r w:rsidR="00DF05BB" w:rsidRPr="00D9553E">
        <w:rPr>
          <w:rFonts w:ascii="Times New Roman" w:hAnsi="Times New Roman" w:cs="Times New Roman"/>
          <w:sz w:val="24"/>
          <w:szCs w:val="24"/>
        </w:rPr>
        <w:t>(art. 54)</w:t>
      </w:r>
      <w:r w:rsidR="00435E84" w:rsidRPr="00D9553E">
        <w:rPr>
          <w:rFonts w:ascii="Times New Roman" w:hAnsi="Times New Roman" w:cs="Times New Roman"/>
          <w:sz w:val="24"/>
          <w:szCs w:val="24"/>
        </w:rPr>
        <w:t>,</w:t>
      </w:r>
      <w:r w:rsidR="00AF70F5" w:rsidRPr="00D9553E">
        <w:rPr>
          <w:rFonts w:ascii="Times New Roman" w:hAnsi="Times New Roman" w:cs="Times New Roman"/>
          <w:sz w:val="24"/>
          <w:szCs w:val="24"/>
        </w:rPr>
        <w:t xml:space="preserve"> si perviene a conclusioni non dissimili.</w:t>
      </w:r>
      <w:r w:rsidR="00DF05BB" w:rsidRPr="00D9553E">
        <w:rPr>
          <w:rFonts w:ascii="Times New Roman" w:hAnsi="Times New Roman" w:cs="Times New Roman"/>
          <w:sz w:val="24"/>
          <w:szCs w:val="24"/>
        </w:rPr>
        <w:t xml:space="preserve"> </w:t>
      </w:r>
      <w:r w:rsidR="007B45FD">
        <w:rPr>
          <w:rFonts w:ascii="Times New Roman" w:hAnsi="Times New Roman" w:cs="Times New Roman"/>
          <w:sz w:val="24"/>
          <w:szCs w:val="24"/>
        </w:rPr>
        <w:t>Infatti</w:t>
      </w:r>
      <w:r w:rsidR="00AF70F5" w:rsidRPr="00D9553E">
        <w:rPr>
          <w:rFonts w:ascii="Times New Roman" w:hAnsi="Times New Roman" w:cs="Times New Roman"/>
          <w:sz w:val="24"/>
          <w:szCs w:val="24"/>
        </w:rPr>
        <w:t xml:space="preserve">, sebbene l’art. 54 non richieda </w:t>
      </w:r>
      <w:r w:rsidR="007624D0">
        <w:rPr>
          <w:rFonts w:ascii="Times New Roman" w:hAnsi="Times New Roman" w:cs="Times New Roman"/>
          <w:sz w:val="24"/>
          <w:szCs w:val="24"/>
        </w:rPr>
        <w:t>che sussista</w:t>
      </w:r>
      <w:r w:rsidR="00AF70F5" w:rsidRPr="00D9553E">
        <w:rPr>
          <w:rFonts w:ascii="Times New Roman" w:hAnsi="Times New Roman" w:cs="Times New Roman"/>
          <w:sz w:val="24"/>
          <w:szCs w:val="24"/>
        </w:rPr>
        <w:t xml:space="preserve"> di un’“emergenza”</w:t>
      </w:r>
      <w:r w:rsidR="005F639C" w:rsidRPr="00D9553E">
        <w:rPr>
          <w:rFonts w:ascii="Times New Roman" w:hAnsi="Times New Roman" w:cs="Times New Roman"/>
          <w:sz w:val="24"/>
          <w:szCs w:val="24"/>
        </w:rPr>
        <w:t xml:space="preserve">, </w:t>
      </w:r>
      <w:r w:rsidR="00AC3666" w:rsidRPr="00D9553E">
        <w:rPr>
          <w:rFonts w:ascii="Times New Roman" w:hAnsi="Times New Roman" w:cs="Times New Roman"/>
          <w:sz w:val="24"/>
          <w:szCs w:val="24"/>
        </w:rPr>
        <w:t>nondimeno</w:t>
      </w:r>
      <w:r w:rsidR="00AF70F5" w:rsidRPr="00D9553E">
        <w:rPr>
          <w:rFonts w:ascii="Times New Roman" w:hAnsi="Times New Roman" w:cs="Times New Roman"/>
          <w:sz w:val="24"/>
          <w:szCs w:val="24"/>
        </w:rPr>
        <w:t xml:space="preserve"> l’urgenza di provvedere comprime in maniera </w:t>
      </w:r>
      <w:proofErr w:type="gramStart"/>
      <w:r w:rsidR="00AF70F5" w:rsidRPr="00D9553E">
        <w:rPr>
          <w:rFonts w:ascii="Times New Roman" w:hAnsi="Times New Roman" w:cs="Times New Roman"/>
          <w:sz w:val="24"/>
          <w:szCs w:val="24"/>
        </w:rPr>
        <w:t>significativa</w:t>
      </w:r>
      <w:proofErr w:type="gramEnd"/>
      <w:r w:rsidR="00AF70F5" w:rsidRPr="00D9553E">
        <w:rPr>
          <w:rFonts w:ascii="Times New Roman" w:hAnsi="Times New Roman" w:cs="Times New Roman"/>
          <w:sz w:val="24"/>
          <w:szCs w:val="24"/>
        </w:rPr>
        <w:t xml:space="preserve"> lo spazio di scelta del </w:t>
      </w:r>
      <w:r w:rsidR="00435E84" w:rsidRPr="00D9553E">
        <w:rPr>
          <w:rFonts w:ascii="Times New Roman" w:hAnsi="Times New Roman" w:cs="Times New Roman"/>
          <w:sz w:val="24"/>
          <w:szCs w:val="24"/>
        </w:rPr>
        <w:t>S</w:t>
      </w:r>
      <w:r w:rsidR="00AF70F5" w:rsidRPr="00D9553E">
        <w:rPr>
          <w:rFonts w:ascii="Times New Roman" w:hAnsi="Times New Roman" w:cs="Times New Roman"/>
          <w:sz w:val="24"/>
          <w:szCs w:val="24"/>
        </w:rPr>
        <w:t xml:space="preserve">indaco su una </w:t>
      </w:r>
      <w:r w:rsidR="007B45FD">
        <w:rPr>
          <w:rFonts w:ascii="Times New Roman" w:hAnsi="Times New Roman" w:cs="Times New Roman"/>
          <w:sz w:val="24"/>
          <w:szCs w:val="24"/>
        </w:rPr>
        <w:t>gestione del rischio -</w:t>
      </w:r>
      <w:r w:rsidR="00AF70F5" w:rsidRPr="00D9553E">
        <w:rPr>
          <w:rFonts w:ascii="Times New Roman" w:hAnsi="Times New Roman" w:cs="Times New Roman"/>
          <w:sz w:val="24"/>
          <w:szCs w:val="24"/>
        </w:rPr>
        <w:t>siccome compiutamente valutato in sede scientifica</w:t>
      </w:r>
      <w:r w:rsidR="007B45FD">
        <w:rPr>
          <w:rFonts w:ascii="Times New Roman" w:hAnsi="Times New Roman" w:cs="Times New Roman"/>
          <w:sz w:val="24"/>
          <w:szCs w:val="24"/>
        </w:rPr>
        <w:t>-</w:t>
      </w:r>
      <w:r w:rsidR="00AF70F5" w:rsidRPr="00D9553E">
        <w:rPr>
          <w:rFonts w:ascii="Times New Roman" w:hAnsi="Times New Roman" w:cs="Times New Roman"/>
          <w:sz w:val="24"/>
          <w:szCs w:val="24"/>
        </w:rPr>
        <w:t xml:space="preserve"> in termini di precauzione. </w:t>
      </w:r>
    </w:p>
    <w:p w14:paraId="5F846FE9" w14:textId="5028C41C" w:rsidR="002E672A" w:rsidRPr="00D9553E" w:rsidRDefault="002E672A" w:rsidP="00E9248E">
      <w:pPr>
        <w:spacing w:after="0" w:line="360" w:lineRule="auto"/>
        <w:contextualSpacing/>
        <w:jc w:val="both"/>
        <w:rPr>
          <w:rFonts w:ascii="Times New Roman" w:hAnsi="Times New Roman" w:cs="Times New Roman"/>
          <w:sz w:val="24"/>
          <w:szCs w:val="24"/>
        </w:rPr>
      </w:pPr>
      <w:r w:rsidRPr="00D9553E">
        <w:rPr>
          <w:rFonts w:ascii="Times New Roman" w:hAnsi="Times New Roman" w:cs="Times New Roman"/>
          <w:sz w:val="24"/>
          <w:szCs w:val="24"/>
        </w:rPr>
        <w:tab/>
      </w:r>
      <w:r w:rsidR="00AB2DE3" w:rsidRPr="00D9553E">
        <w:rPr>
          <w:rFonts w:ascii="Times New Roman" w:hAnsi="Times New Roman" w:cs="Times New Roman"/>
          <w:sz w:val="24"/>
          <w:szCs w:val="24"/>
        </w:rPr>
        <w:t xml:space="preserve">La discrasia tra tempo </w:t>
      </w:r>
      <w:r w:rsidR="00036CEF" w:rsidRPr="00D9553E">
        <w:rPr>
          <w:rFonts w:ascii="Times New Roman" w:hAnsi="Times New Roman" w:cs="Times New Roman"/>
          <w:sz w:val="24"/>
          <w:szCs w:val="24"/>
        </w:rPr>
        <w:t xml:space="preserve">(breve) </w:t>
      </w:r>
      <w:r w:rsidR="00AB2DE3" w:rsidRPr="00D9553E">
        <w:rPr>
          <w:rFonts w:ascii="Times New Roman" w:hAnsi="Times New Roman" w:cs="Times New Roman"/>
          <w:sz w:val="24"/>
          <w:szCs w:val="24"/>
        </w:rPr>
        <w:t xml:space="preserve">dell’intervento urgente e </w:t>
      </w:r>
      <w:proofErr w:type="gramStart"/>
      <w:r w:rsidR="00AB2DE3" w:rsidRPr="00D9553E">
        <w:rPr>
          <w:rFonts w:ascii="Times New Roman" w:hAnsi="Times New Roman" w:cs="Times New Roman"/>
          <w:sz w:val="24"/>
          <w:szCs w:val="24"/>
        </w:rPr>
        <w:t>tempo</w:t>
      </w:r>
      <w:proofErr w:type="gramEnd"/>
      <w:r w:rsidR="00AB2DE3" w:rsidRPr="00D9553E">
        <w:rPr>
          <w:rFonts w:ascii="Times New Roman" w:hAnsi="Times New Roman" w:cs="Times New Roman"/>
          <w:sz w:val="24"/>
          <w:szCs w:val="24"/>
        </w:rPr>
        <w:t xml:space="preserve"> </w:t>
      </w:r>
      <w:r w:rsidR="00036CEF" w:rsidRPr="00D9553E">
        <w:rPr>
          <w:rFonts w:ascii="Times New Roman" w:hAnsi="Times New Roman" w:cs="Times New Roman"/>
          <w:sz w:val="24"/>
          <w:szCs w:val="24"/>
        </w:rPr>
        <w:t xml:space="preserve">(dilatato) </w:t>
      </w:r>
      <w:r w:rsidR="00AB2DE3" w:rsidRPr="00D9553E">
        <w:rPr>
          <w:rFonts w:ascii="Times New Roman" w:hAnsi="Times New Roman" w:cs="Times New Roman"/>
          <w:sz w:val="24"/>
          <w:szCs w:val="24"/>
        </w:rPr>
        <w:t xml:space="preserve">della </w:t>
      </w:r>
      <w:r w:rsidR="00036CEF" w:rsidRPr="00D9553E">
        <w:rPr>
          <w:rFonts w:ascii="Times New Roman" w:hAnsi="Times New Roman" w:cs="Times New Roman"/>
          <w:sz w:val="24"/>
          <w:szCs w:val="24"/>
        </w:rPr>
        <w:t xml:space="preserve">valutazione e successiva </w:t>
      </w:r>
      <w:r w:rsidR="00AB2DE3" w:rsidRPr="00D9553E">
        <w:rPr>
          <w:rFonts w:ascii="Times New Roman" w:hAnsi="Times New Roman" w:cs="Times New Roman"/>
          <w:sz w:val="24"/>
          <w:szCs w:val="24"/>
        </w:rPr>
        <w:t xml:space="preserve">gestione del rischio in termini di precauzione lascia emergere una tendenziale inidoneità del </w:t>
      </w:r>
      <w:r w:rsidR="00630807" w:rsidRPr="00D9553E">
        <w:rPr>
          <w:rFonts w:ascii="Times New Roman" w:hAnsi="Times New Roman" w:cs="Times New Roman"/>
          <w:sz w:val="24"/>
          <w:szCs w:val="24"/>
        </w:rPr>
        <w:t>principio</w:t>
      </w:r>
      <w:r w:rsidRPr="00D9553E">
        <w:rPr>
          <w:rFonts w:ascii="Times New Roman" w:hAnsi="Times New Roman" w:cs="Times New Roman"/>
          <w:sz w:val="24"/>
          <w:szCs w:val="24"/>
        </w:rPr>
        <w:t xml:space="preserve"> </w:t>
      </w:r>
      <w:r w:rsidR="00AB2DE3" w:rsidRPr="00D9553E">
        <w:rPr>
          <w:rFonts w:ascii="Times New Roman" w:hAnsi="Times New Roman" w:cs="Times New Roman"/>
          <w:sz w:val="24"/>
          <w:szCs w:val="24"/>
        </w:rPr>
        <w:t xml:space="preserve">a fondare o a rafforzare l’esercizio del </w:t>
      </w:r>
      <w:r w:rsidRPr="00D9553E">
        <w:rPr>
          <w:rFonts w:ascii="Times New Roman" w:hAnsi="Times New Roman" w:cs="Times New Roman"/>
          <w:sz w:val="24"/>
          <w:szCs w:val="24"/>
        </w:rPr>
        <w:t>potere di ordinanza.</w:t>
      </w:r>
    </w:p>
    <w:p w14:paraId="76C6323B" w14:textId="6DB58857" w:rsidR="004D3384" w:rsidRPr="00D9553E" w:rsidRDefault="00935F65" w:rsidP="00E9248E">
      <w:pPr>
        <w:spacing w:after="0"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2E672A" w:rsidRPr="00D9553E">
        <w:rPr>
          <w:rFonts w:ascii="Times New Roman" w:hAnsi="Times New Roman" w:cs="Times New Roman"/>
          <w:sz w:val="24"/>
          <w:szCs w:val="24"/>
        </w:rPr>
        <w:t xml:space="preserve">Al contrario, se si </w:t>
      </w:r>
      <w:r w:rsidR="000D3960">
        <w:rPr>
          <w:rFonts w:ascii="Times New Roman" w:hAnsi="Times New Roman" w:cs="Times New Roman"/>
          <w:sz w:val="24"/>
          <w:szCs w:val="24"/>
        </w:rPr>
        <w:t>tenga</w:t>
      </w:r>
      <w:r w:rsidR="002E672A" w:rsidRPr="00D9553E">
        <w:rPr>
          <w:rFonts w:ascii="Times New Roman" w:hAnsi="Times New Roman" w:cs="Times New Roman"/>
          <w:sz w:val="24"/>
          <w:szCs w:val="24"/>
        </w:rPr>
        <w:t xml:space="preserve"> a mente </w:t>
      </w:r>
      <w:proofErr w:type="gramStart"/>
      <w:r w:rsidR="002E672A" w:rsidRPr="00D9553E">
        <w:rPr>
          <w:rFonts w:ascii="Times New Roman" w:hAnsi="Times New Roman" w:cs="Times New Roman"/>
          <w:sz w:val="24"/>
          <w:szCs w:val="24"/>
        </w:rPr>
        <w:t>(</w:t>
      </w:r>
      <w:proofErr w:type="gramEnd"/>
      <w:r w:rsidR="002E672A" w:rsidRPr="00D9553E">
        <w:rPr>
          <w:rFonts w:ascii="Times New Roman" w:hAnsi="Times New Roman" w:cs="Times New Roman"/>
          <w:sz w:val="24"/>
          <w:szCs w:val="24"/>
        </w:rPr>
        <w:t xml:space="preserve">sulla scorta del dato testuale dell’art. 54 </w:t>
      </w:r>
      <w:proofErr w:type="spellStart"/>
      <w:proofErr w:type="gramStart"/>
      <w:r w:rsidR="002E672A" w:rsidRPr="00D9553E">
        <w:rPr>
          <w:rFonts w:ascii="Times New Roman" w:hAnsi="Times New Roman" w:cs="Times New Roman"/>
          <w:sz w:val="24"/>
          <w:szCs w:val="24"/>
        </w:rPr>
        <w:t>t.u.e.l</w:t>
      </w:r>
      <w:proofErr w:type="spellEnd"/>
      <w:proofErr w:type="gramEnd"/>
      <w:r w:rsidR="002E672A" w:rsidRPr="00D9553E">
        <w:rPr>
          <w:rFonts w:ascii="Times New Roman" w:hAnsi="Times New Roman" w:cs="Times New Roman"/>
          <w:sz w:val="24"/>
          <w:szCs w:val="24"/>
        </w:rPr>
        <w:t xml:space="preserve"> e degli insegnamenti</w:t>
      </w:r>
      <w:r w:rsidR="004D3384" w:rsidRPr="00D9553E">
        <w:rPr>
          <w:rFonts w:ascii="Times New Roman" w:hAnsi="Times New Roman" w:cs="Times New Roman"/>
          <w:sz w:val="24"/>
          <w:szCs w:val="24"/>
        </w:rPr>
        <w:t>,</w:t>
      </w:r>
      <w:r w:rsidR="002E672A" w:rsidRPr="00D9553E">
        <w:rPr>
          <w:rFonts w:ascii="Times New Roman" w:hAnsi="Times New Roman" w:cs="Times New Roman"/>
          <w:sz w:val="24"/>
          <w:szCs w:val="24"/>
        </w:rPr>
        <w:t xml:space="preserve"> anche risalenti</w:t>
      </w:r>
      <w:r w:rsidR="004D3384" w:rsidRPr="00D9553E">
        <w:rPr>
          <w:rFonts w:ascii="Times New Roman" w:hAnsi="Times New Roman" w:cs="Times New Roman"/>
          <w:sz w:val="24"/>
          <w:szCs w:val="24"/>
        </w:rPr>
        <w:t>,</w:t>
      </w:r>
      <w:r w:rsidR="002E672A" w:rsidRPr="00D9553E">
        <w:rPr>
          <w:rFonts w:ascii="Times New Roman" w:hAnsi="Times New Roman" w:cs="Times New Roman"/>
          <w:sz w:val="24"/>
          <w:szCs w:val="24"/>
        </w:rPr>
        <w:t xml:space="preserve"> della Corte costituzionale) c</w:t>
      </w:r>
      <w:r w:rsidR="009111EE" w:rsidRPr="00D9553E">
        <w:rPr>
          <w:rFonts w:ascii="Times New Roman" w:hAnsi="Times New Roman" w:cs="Times New Roman"/>
          <w:sz w:val="24"/>
          <w:szCs w:val="24"/>
        </w:rPr>
        <w:t>he</w:t>
      </w:r>
      <w:r w:rsidR="0092185B" w:rsidRPr="00D9553E">
        <w:rPr>
          <w:rFonts w:ascii="Times New Roman" w:hAnsi="Times New Roman" w:cs="Times New Roman"/>
          <w:sz w:val="24"/>
          <w:szCs w:val="24"/>
        </w:rPr>
        <w:t xml:space="preserve"> </w:t>
      </w:r>
      <w:r w:rsidR="002E672A" w:rsidRPr="00D9553E">
        <w:rPr>
          <w:rFonts w:ascii="Times New Roman" w:hAnsi="Times New Roman" w:cs="Times New Roman"/>
          <w:sz w:val="24"/>
          <w:szCs w:val="24"/>
        </w:rPr>
        <w:t xml:space="preserve">l’esercizio del potere di ordinanza </w:t>
      </w:r>
      <w:r w:rsidR="004D3384" w:rsidRPr="00D9553E">
        <w:rPr>
          <w:rFonts w:ascii="Times New Roman" w:hAnsi="Times New Roman" w:cs="Times New Roman"/>
          <w:sz w:val="24"/>
          <w:szCs w:val="24"/>
        </w:rPr>
        <w:t xml:space="preserve">possa considerarsi legittimo solo a condizione che siano rispettati </w:t>
      </w:r>
      <w:r w:rsidR="002E672A" w:rsidRPr="00D9553E">
        <w:rPr>
          <w:rFonts w:ascii="Times New Roman" w:hAnsi="Times New Roman" w:cs="Times New Roman"/>
          <w:sz w:val="24"/>
          <w:szCs w:val="24"/>
        </w:rPr>
        <w:t>i “</w:t>
      </w:r>
      <w:r w:rsidR="00630807" w:rsidRPr="00D9553E">
        <w:rPr>
          <w:rFonts w:ascii="Times New Roman" w:hAnsi="Times New Roman" w:cs="Times New Roman"/>
          <w:sz w:val="24"/>
          <w:szCs w:val="24"/>
        </w:rPr>
        <w:t>princìpi</w:t>
      </w:r>
      <w:r w:rsidR="002E672A" w:rsidRPr="00D9553E">
        <w:rPr>
          <w:rFonts w:ascii="Times New Roman" w:hAnsi="Times New Roman" w:cs="Times New Roman"/>
          <w:sz w:val="24"/>
          <w:szCs w:val="24"/>
        </w:rPr>
        <w:t xml:space="preserve"> generali dell’ordinamento” </w:t>
      </w:r>
      <w:r w:rsidR="0008304B" w:rsidRPr="00D9553E">
        <w:rPr>
          <w:rFonts w:ascii="Times New Roman" w:hAnsi="Times New Roman" w:cs="Times New Roman"/>
          <w:sz w:val="24"/>
          <w:szCs w:val="24"/>
        </w:rPr>
        <w:t xml:space="preserve">e si </w:t>
      </w:r>
      <w:r w:rsidR="000D3960">
        <w:rPr>
          <w:rFonts w:ascii="Times New Roman" w:hAnsi="Times New Roman" w:cs="Times New Roman"/>
          <w:sz w:val="24"/>
          <w:szCs w:val="24"/>
        </w:rPr>
        <w:t>annoveri</w:t>
      </w:r>
      <w:r w:rsidR="004D3384" w:rsidRPr="00D9553E">
        <w:rPr>
          <w:rFonts w:ascii="Times New Roman" w:hAnsi="Times New Roman" w:cs="Times New Roman"/>
          <w:sz w:val="24"/>
          <w:szCs w:val="24"/>
        </w:rPr>
        <w:t xml:space="preserve"> </w:t>
      </w:r>
      <w:r w:rsidR="0008304B" w:rsidRPr="00D9553E">
        <w:rPr>
          <w:rFonts w:ascii="Times New Roman" w:hAnsi="Times New Roman" w:cs="Times New Roman"/>
          <w:sz w:val="24"/>
          <w:szCs w:val="24"/>
        </w:rPr>
        <w:t xml:space="preserve">che tra questi </w:t>
      </w:r>
      <w:r w:rsidR="00BB3E76" w:rsidRPr="00D9553E">
        <w:rPr>
          <w:rFonts w:ascii="Times New Roman" w:hAnsi="Times New Roman" w:cs="Times New Roman"/>
          <w:sz w:val="24"/>
          <w:szCs w:val="24"/>
        </w:rPr>
        <w:t xml:space="preserve">anche </w:t>
      </w:r>
      <w:r w:rsidR="004D3384" w:rsidRPr="00D9553E">
        <w:rPr>
          <w:rFonts w:ascii="Times New Roman" w:hAnsi="Times New Roman" w:cs="Times New Roman"/>
          <w:sz w:val="24"/>
          <w:szCs w:val="24"/>
        </w:rPr>
        <w:t xml:space="preserve">il </w:t>
      </w:r>
      <w:r w:rsidR="00630807" w:rsidRPr="00D9553E">
        <w:rPr>
          <w:rFonts w:ascii="Times New Roman" w:hAnsi="Times New Roman" w:cs="Times New Roman"/>
          <w:sz w:val="24"/>
          <w:szCs w:val="24"/>
        </w:rPr>
        <w:t>principio</w:t>
      </w:r>
      <w:r w:rsidR="004D3384" w:rsidRPr="00D9553E">
        <w:rPr>
          <w:rFonts w:ascii="Times New Roman" w:hAnsi="Times New Roman" w:cs="Times New Roman"/>
          <w:sz w:val="24"/>
          <w:szCs w:val="24"/>
        </w:rPr>
        <w:t xml:space="preserve"> di </w:t>
      </w:r>
      <w:r w:rsidR="004D3384" w:rsidRPr="00D9553E">
        <w:rPr>
          <w:rFonts w:ascii="Times New Roman" w:hAnsi="Times New Roman" w:cs="Times New Roman"/>
          <w:sz w:val="24"/>
          <w:szCs w:val="24"/>
        </w:rPr>
        <w:lastRenderedPageBreak/>
        <w:t xml:space="preserve">precauzione, allora esso </w:t>
      </w:r>
      <w:r w:rsidR="00036CEF" w:rsidRPr="00D9553E">
        <w:rPr>
          <w:rFonts w:ascii="Times New Roman" w:hAnsi="Times New Roman" w:cs="Times New Roman"/>
          <w:sz w:val="24"/>
          <w:szCs w:val="24"/>
        </w:rPr>
        <w:t>p</w:t>
      </w:r>
      <w:r w:rsidR="009111EE" w:rsidRPr="00D9553E">
        <w:rPr>
          <w:rFonts w:ascii="Times New Roman" w:hAnsi="Times New Roman" w:cs="Times New Roman"/>
          <w:sz w:val="24"/>
          <w:szCs w:val="24"/>
        </w:rPr>
        <w:t>otrà</w:t>
      </w:r>
      <w:r w:rsidR="0092185B" w:rsidRPr="00D9553E">
        <w:rPr>
          <w:rFonts w:ascii="Times New Roman" w:hAnsi="Times New Roman" w:cs="Times New Roman"/>
          <w:sz w:val="24"/>
          <w:szCs w:val="24"/>
        </w:rPr>
        <w:t xml:space="preserve"> </w:t>
      </w:r>
      <w:r w:rsidR="00036CEF" w:rsidRPr="00D9553E">
        <w:rPr>
          <w:rFonts w:ascii="Times New Roman" w:hAnsi="Times New Roman" w:cs="Times New Roman"/>
          <w:sz w:val="24"/>
          <w:szCs w:val="24"/>
        </w:rPr>
        <w:t xml:space="preserve">costituire </w:t>
      </w:r>
      <w:r w:rsidR="004D3384" w:rsidRPr="00D9553E">
        <w:rPr>
          <w:rFonts w:ascii="Times New Roman" w:hAnsi="Times New Roman" w:cs="Times New Roman"/>
          <w:sz w:val="24"/>
          <w:szCs w:val="24"/>
        </w:rPr>
        <w:t xml:space="preserve">limite (e non fondamento) del potere </w:t>
      </w:r>
      <w:r w:rsidR="004D3384" w:rsidRPr="00D9553E">
        <w:rPr>
          <w:rFonts w:ascii="Times New Roman" w:hAnsi="Times New Roman" w:cs="Times New Roman"/>
          <w:i/>
          <w:sz w:val="24"/>
          <w:szCs w:val="24"/>
        </w:rPr>
        <w:t xml:space="preserve">extra </w:t>
      </w:r>
      <w:proofErr w:type="spellStart"/>
      <w:r w:rsidR="004D3384" w:rsidRPr="00D9553E">
        <w:rPr>
          <w:rFonts w:ascii="Times New Roman" w:hAnsi="Times New Roman" w:cs="Times New Roman"/>
          <w:i/>
          <w:sz w:val="24"/>
          <w:szCs w:val="24"/>
        </w:rPr>
        <w:t>ordinem</w:t>
      </w:r>
      <w:proofErr w:type="spellEnd"/>
      <w:r w:rsidR="004D3384" w:rsidRPr="00D9553E">
        <w:rPr>
          <w:rFonts w:ascii="Times New Roman" w:hAnsi="Times New Roman" w:cs="Times New Roman"/>
          <w:i/>
          <w:sz w:val="24"/>
          <w:szCs w:val="24"/>
        </w:rPr>
        <w:t>.</w:t>
      </w:r>
    </w:p>
    <w:p w14:paraId="2C81FF04" w14:textId="374D652F" w:rsidR="00943BE7" w:rsidRPr="00D9553E" w:rsidRDefault="00935F6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8304B" w:rsidRPr="00D9553E">
        <w:rPr>
          <w:rFonts w:ascii="Times New Roman" w:hAnsi="Times New Roman" w:cs="Times New Roman"/>
          <w:sz w:val="24"/>
          <w:szCs w:val="24"/>
        </w:rPr>
        <w:t>Saranno</w:t>
      </w:r>
      <w:r w:rsidR="000B0FFB" w:rsidRPr="00D9553E">
        <w:rPr>
          <w:rFonts w:ascii="Times New Roman" w:hAnsi="Times New Roman" w:cs="Times New Roman"/>
          <w:sz w:val="24"/>
          <w:szCs w:val="24"/>
        </w:rPr>
        <w:t xml:space="preserve">, </w:t>
      </w:r>
      <w:r w:rsidR="0008304B" w:rsidRPr="00D9553E">
        <w:rPr>
          <w:rFonts w:ascii="Times New Roman" w:hAnsi="Times New Roman" w:cs="Times New Roman"/>
          <w:sz w:val="24"/>
          <w:szCs w:val="24"/>
        </w:rPr>
        <w:t>dunque</w:t>
      </w:r>
      <w:r w:rsidR="000B0FFB" w:rsidRPr="00D9553E">
        <w:rPr>
          <w:rFonts w:ascii="Times New Roman" w:hAnsi="Times New Roman" w:cs="Times New Roman"/>
          <w:sz w:val="24"/>
          <w:szCs w:val="24"/>
        </w:rPr>
        <w:t xml:space="preserve">, </w:t>
      </w:r>
      <w:r w:rsidR="000D3960">
        <w:rPr>
          <w:rFonts w:ascii="Times New Roman" w:hAnsi="Times New Roman" w:cs="Times New Roman"/>
          <w:sz w:val="24"/>
          <w:szCs w:val="24"/>
        </w:rPr>
        <w:t xml:space="preserve">da ritenere </w:t>
      </w:r>
      <w:r w:rsidR="000B0FFB" w:rsidRPr="00D9553E">
        <w:rPr>
          <w:rFonts w:ascii="Times New Roman" w:hAnsi="Times New Roman" w:cs="Times New Roman"/>
          <w:sz w:val="24"/>
          <w:szCs w:val="24"/>
        </w:rPr>
        <w:t xml:space="preserve">illegittime </w:t>
      </w:r>
      <w:r w:rsidR="000D3960">
        <w:rPr>
          <w:rFonts w:ascii="Times New Roman" w:hAnsi="Times New Roman" w:cs="Times New Roman"/>
          <w:sz w:val="24"/>
          <w:szCs w:val="24"/>
        </w:rPr>
        <w:t>-</w:t>
      </w:r>
      <w:r w:rsidR="000B0FFB" w:rsidRPr="00D9553E">
        <w:rPr>
          <w:rFonts w:ascii="Times New Roman" w:hAnsi="Times New Roman" w:cs="Times New Roman"/>
          <w:sz w:val="24"/>
          <w:szCs w:val="24"/>
        </w:rPr>
        <w:t xml:space="preserve">per violazione del </w:t>
      </w:r>
      <w:r w:rsidR="00630807" w:rsidRPr="00D9553E">
        <w:rPr>
          <w:rFonts w:ascii="Times New Roman" w:hAnsi="Times New Roman" w:cs="Times New Roman"/>
          <w:sz w:val="24"/>
          <w:szCs w:val="24"/>
        </w:rPr>
        <w:t>principio</w:t>
      </w:r>
      <w:r w:rsidR="000B0FFB" w:rsidRPr="00D9553E">
        <w:rPr>
          <w:rFonts w:ascii="Times New Roman" w:hAnsi="Times New Roman" w:cs="Times New Roman"/>
          <w:sz w:val="24"/>
          <w:szCs w:val="24"/>
        </w:rPr>
        <w:t xml:space="preserve"> di precauzione</w:t>
      </w:r>
      <w:r w:rsidR="000D3960">
        <w:rPr>
          <w:rFonts w:ascii="Times New Roman" w:hAnsi="Times New Roman" w:cs="Times New Roman"/>
          <w:sz w:val="24"/>
          <w:szCs w:val="24"/>
        </w:rPr>
        <w:t>-</w:t>
      </w:r>
      <w:r w:rsidR="00435E84" w:rsidRPr="00D9553E">
        <w:rPr>
          <w:rFonts w:ascii="Times New Roman" w:hAnsi="Times New Roman" w:cs="Times New Roman"/>
          <w:sz w:val="24"/>
          <w:szCs w:val="24"/>
        </w:rPr>
        <w:t xml:space="preserve"> </w:t>
      </w:r>
      <w:r w:rsidR="000B0FFB" w:rsidRPr="00D9553E">
        <w:rPr>
          <w:rFonts w:ascii="Times New Roman" w:hAnsi="Times New Roman" w:cs="Times New Roman"/>
          <w:sz w:val="24"/>
          <w:szCs w:val="24"/>
        </w:rPr>
        <w:t xml:space="preserve">quelle ordinanze </w:t>
      </w:r>
      <w:r w:rsidR="000B0FFB" w:rsidRPr="00D9553E">
        <w:rPr>
          <w:rFonts w:ascii="Times New Roman" w:hAnsi="Times New Roman" w:cs="Times New Roman"/>
          <w:color w:val="000000" w:themeColor="text1"/>
          <w:sz w:val="24"/>
          <w:szCs w:val="24"/>
        </w:rPr>
        <w:t xml:space="preserve">fondate su supposizioni </w:t>
      </w:r>
      <w:r w:rsidR="00503D4A" w:rsidRPr="00D9553E">
        <w:rPr>
          <w:rFonts w:ascii="Times New Roman" w:hAnsi="Times New Roman" w:cs="Times New Roman"/>
          <w:color w:val="000000" w:themeColor="text1"/>
          <w:sz w:val="24"/>
          <w:szCs w:val="24"/>
        </w:rPr>
        <w:t xml:space="preserve">di fatti e/o di conseguenze di accadimenti </w:t>
      </w:r>
      <w:r w:rsidR="000B0FFB" w:rsidRPr="00D9553E">
        <w:rPr>
          <w:rFonts w:ascii="Times New Roman" w:hAnsi="Times New Roman" w:cs="Times New Roman"/>
          <w:color w:val="000000" w:themeColor="text1"/>
          <w:sz w:val="24"/>
          <w:szCs w:val="24"/>
        </w:rPr>
        <w:t>non ancora accertat</w:t>
      </w:r>
      <w:r w:rsidR="008F6DD4">
        <w:rPr>
          <w:rFonts w:ascii="Times New Roman" w:hAnsi="Times New Roman" w:cs="Times New Roman"/>
          <w:color w:val="000000" w:themeColor="text1"/>
          <w:sz w:val="24"/>
          <w:szCs w:val="24"/>
        </w:rPr>
        <w:t>i</w:t>
      </w:r>
      <w:r w:rsidR="000B0FFB" w:rsidRPr="00D9553E">
        <w:rPr>
          <w:rFonts w:ascii="Times New Roman" w:hAnsi="Times New Roman" w:cs="Times New Roman"/>
          <w:color w:val="000000" w:themeColor="text1"/>
          <w:sz w:val="24"/>
          <w:szCs w:val="24"/>
        </w:rPr>
        <w:t xml:space="preserve"> scientificamente </w:t>
      </w:r>
      <w:r w:rsidR="00503D4A" w:rsidRPr="00D9553E">
        <w:rPr>
          <w:rFonts w:ascii="Times New Roman" w:hAnsi="Times New Roman" w:cs="Times New Roman"/>
          <w:color w:val="000000" w:themeColor="text1"/>
          <w:sz w:val="24"/>
          <w:szCs w:val="24"/>
        </w:rPr>
        <w:t>nella loro oggettiva pericolosità</w:t>
      </w:r>
      <w:r w:rsidR="009111EE" w:rsidRPr="00D9553E">
        <w:rPr>
          <w:rFonts w:ascii="Times New Roman" w:hAnsi="Times New Roman" w:cs="Times New Roman"/>
          <w:color w:val="000000" w:themeColor="text1"/>
          <w:sz w:val="24"/>
          <w:szCs w:val="24"/>
        </w:rPr>
        <w:t>:</w:t>
      </w:r>
      <w:r w:rsidR="0092185B" w:rsidRPr="00D9553E">
        <w:rPr>
          <w:rFonts w:ascii="Times New Roman" w:hAnsi="Times New Roman" w:cs="Times New Roman"/>
          <w:color w:val="000000" w:themeColor="text1"/>
          <w:sz w:val="24"/>
          <w:szCs w:val="24"/>
        </w:rPr>
        <w:t xml:space="preserve"> </w:t>
      </w:r>
      <w:r w:rsidR="000B0FFB" w:rsidRPr="00D9553E">
        <w:rPr>
          <w:rFonts w:ascii="Times New Roman" w:hAnsi="Times New Roman" w:cs="Times New Roman"/>
          <w:color w:val="000000" w:themeColor="text1"/>
          <w:sz w:val="24"/>
          <w:szCs w:val="24"/>
        </w:rPr>
        <w:t>dunque su un approccio puramente ipotetico del rischio</w:t>
      </w:r>
      <w:r w:rsidR="00F23D95" w:rsidRPr="00D9553E">
        <w:rPr>
          <w:rFonts w:ascii="Times New Roman" w:hAnsi="Times New Roman" w:cs="Times New Roman"/>
          <w:sz w:val="24"/>
          <w:szCs w:val="24"/>
        </w:rPr>
        <w:t>.</w:t>
      </w:r>
      <w:r w:rsidR="00A005B1" w:rsidRPr="00D9553E">
        <w:rPr>
          <w:rFonts w:ascii="Times New Roman" w:hAnsi="Times New Roman" w:cs="Times New Roman"/>
          <w:sz w:val="24"/>
          <w:szCs w:val="24"/>
        </w:rPr>
        <w:t xml:space="preserve"> </w:t>
      </w:r>
      <w:r w:rsidR="00D92BDE" w:rsidRPr="00D9553E">
        <w:rPr>
          <w:rFonts w:ascii="Times New Roman" w:hAnsi="Times New Roman" w:cs="Times New Roman"/>
          <w:sz w:val="24"/>
          <w:szCs w:val="24"/>
        </w:rPr>
        <w:t xml:space="preserve">Si deve richiedere, </w:t>
      </w:r>
      <w:r w:rsidR="00D92BDE" w:rsidRPr="00D9553E">
        <w:rPr>
          <w:rFonts w:ascii="Times New Roman" w:hAnsi="Times New Roman" w:cs="Times New Roman"/>
          <w:color w:val="000000" w:themeColor="text1"/>
          <w:sz w:val="24"/>
          <w:szCs w:val="24"/>
        </w:rPr>
        <w:t xml:space="preserve">al contrario, </w:t>
      </w:r>
      <w:r w:rsidR="00D92BDE" w:rsidRPr="00D9553E">
        <w:rPr>
          <w:rFonts w:ascii="Times New Roman" w:hAnsi="Times New Roman" w:cs="Times New Roman"/>
          <w:sz w:val="24"/>
          <w:szCs w:val="24"/>
        </w:rPr>
        <w:t xml:space="preserve">un’adeguata analisi scientifica dalla quale emerga, pur in assenza di evidenze consolidate, </w:t>
      </w:r>
      <w:r w:rsidR="00BB3E76" w:rsidRPr="00D9553E">
        <w:rPr>
          <w:rFonts w:ascii="Times New Roman" w:hAnsi="Times New Roman" w:cs="Times New Roman"/>
          <w:sz w:val="24"/>
          <w:szCs w:val="24"/>
        </w:rPr>
        <w:t>una correlazione tra la causa</w:t>
      </w:r>
      <w:r w:rsidR="00D92BDE" w:rsidRPr="00D9553E">
        <w:rPr>
          <w:rFonts w:ascii="Times New Roman" w:hAnsi="Times New Roman" w:cs="Times New Roman"/>
          <w:sz w:val="24"/>
          <w:szCs w:val="24"/>
        </w:rPr>
        <w:t xml:space="preserve"> </w:t>
      </w:r>
      <w:r w:rsidR="00023EE8">
        <w:rPr>
          <w:rFonts w:ascii="Times New Roman" w:hAnsi="Times New Roman" w:cs="Times New Roman"/>
          <w:sz w:val="24"/>
          <w:szCs w:val="24"/>
        </w:rPr>
        <w:t>-</w:t>
      </w:r>
      <w:r w:rsidR="00BB3E76" w:rsidRPr="00D9553E">
        <w:rPr>
          <w:rFonts w:ascii="Times New Roman" w:hAnsi="Times New Roman" w:cs="Times New Roman"/>
          <w:sz w:val="24"/>
          <w:szCs w:val="24"/>
        </w:rPr>
        <w:t xml:space="preserve">attività </w:t>
      </w:r>
      <w:r w:rsidR="00D92BDE" w:rsidRPr="00D9553E">
        <w:rPr>
          <w:rFonts w:ascii="Times New Roman" w:hAnsi="Times New Roman" w:cs="Times New Roman"/>
          <w:sz w:val="24"/>
          <w:szCs w:val="24"/>
        </w:rPr>
        <w:t>o</w:t>
      </w:r>
      <w:r w:rsidR="00BB3E76" w:rsidRPr="00D9553E">
        <w:rPr>
          <w:rFonts w:ascii="Times New Roman" w:hAnsi="Times New Roman" w:cs="Times New Roman"/>
          <w:sz w:val="24"/>
          <w:szCs w:val="24"/>
        </w:rPr>
        <w:t>ggetto di divieto o limitazione</w:t>
      </w:r>
      <w:r w:rsidR="00023EE8">
        <w:rPr>
          <w:rFonts w:ascii="Times New Roman" w:hAnsi="Times New Roman" w:cs="Times New Roman"/>
          <w:sz w:val="24"/>
          <w:szCs w:val="24"/>
        </w:rPr>
        <w:t>-</w:t>
      </w:r>
      <w:r w:rsidR="00D92BDE" w:rsidRPr="00D9553E">
        <w:rPr>
          <w:rFonts w:ascii="Times New Roman" w:hAnsi="Times New Roman" w:cs="Times New Roman"/>
          <w:sz w:val="24"/>
          <w:szCs w:val="24"/>
        </w:rPr>
        <w:t xml:space="preserve"> e gli effetti negativi che ci si </w:t>
      </w:r>
      <w:proofErr w:type="gramStart"/>
      <w:r w:rsidR="00D92BDE" w:rsidRPr="00D9553E">
        <w:rPr>
          <w:rFonts w:ascii="Times New Roman" w:hAnsi="Times New Roman" w:cs="Times New Roman"/>
          <w:sz w:val="24"/>
          <w:szCs w:val="24"/>
        </w:rPr>
        <w:t>prefigge</w:t>
      </w:r>
      <w:proofErr w:type="gramEnd"/>
      <w:r w:rsidR="00D92BDE" w:rsidRPr="00D9553E">
        <w:rPr>
          <w:rFonts w:ascii="Times New Roman" w:hAnsi="Times New Roman" w:cs="Times New Roman"/>
          <w:sz w:val="24"/>
          <w:szCs w:val="24"/>
        </w:rPr>
        <w:t xml:space="preserve"> di eliminare o ridurre (fase della “valutazione del rischio”)</w:t>
      </w:r>
      <w:r w:rsidR="00435E84" w:rsidRPr="00D9553E">
        <w:rPr>
          <w:rFonts w:ascii="Times New Roman" w:hAnsi="Times New Roman" w:cs="Times New Roman"/>
          <w:sz w:val="24"/>
          <w:szCs w:val="24"/>
        </w:rPr>
        <w:t>.</w:t>
      </w:r>
    </w:p>
    <w:p w14:paraId="1221006B" w14:textId="2EFD5AD2" w:rsidR="001D27EC" w:rsidRPr="00D9553E" w:rsidRDefault="00935F6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F2688" w:rsidRPr="00D9553E">
        <w:rPr>
          <w:rFonts w:ascii="Times New Roman" w:hAnsi="Times New Roman" w:cs="Times New Roman"/>
          <w:sz w:val="24"/>
          <w:szCs w:val="24"/>
        </w:rPr>
        <w:t>Sul versante procedimentale</w:t>
      </w:r>
      <w:r w:rsidR="00D76EF1" w:rsidRPr="00D9553E">
        <w:rPr>
          <w:rFonts w:ascii="Times New Roman" w:hAnsi="Times New Roman" w:cs="Times New Roman"/>
          <w:sz w:val="24"/>
          <w:szCs w:val="24"/>
        </w:rPr>
        <w:t>, ciò</w:t>
      </w:r>
      <w:r w:rsidR="0092185B" w:rsidRPr="00D9553E">
        <w:rPr>
          <w:rFonts w:ascii="Times New Roman" w:hAnsi="Times New Roman" w:cs="Times New Roman"/>
          <w:sz w:val="24"/>
          <w:szCs w:val="24"/>
        </w:rPr>
        <w:t xml:space="preserve"> </w:t>
      </w:r>
      <w:r w:rsidR="002F2688" w:rsidRPr="00D9553E">
        <w:rPr>
          <w:rFonts w:ascii="Times New Roman" w:hAnsi="Times New Roman" w:cs="Times New Roman"/>
          <w:sz w:val="24"/>
          <w:szCs w:val="24"/>
        </w:rPr>
        <w:t xml:space="preserve">comporta </w:t>
      </w:r>
      <w:r w:rsidR="00F22D33">
        <w:rPr>
          <w:rFonts w:ascii="Times New Roman" w:hAnsi="Times New Roman" w:cs="Times New Roman"/>
          <w:sz w:val="24"/>
          <w:szCs w:val="24"/>
        </w:rPr>
        <w:t>di</w:t>
      </w:r>
      <w:r w:rsidR="002F2688" w:rsidRPr="00D9553E">
        <w:rPr>
          <w:rFonts w:ascii="Times New Roman" w:hAnsi="Times New Roman" w:cs="Times New Roman"/>
          <w:sz w:val="24"/>
          <w:szCs w:val="24"/>
        </w:rPr>
        <w:t xml:space="preserve"> necessità che</w:t>
      </w:r>
      <w:r w:rsidR="00435E84" w:rsidRPr="00D9553E">
        <w:rPr>
          <w:rFonts w:ascii="Times New Roman" w:hAnsi="Times New Roman" w:cs="Times New Roman"/>
          <w:sz w:val="24"/>
          <w:szCs w:val="24"/>
        </w:rPr>
        <w:t>,</w:t>
      </w:r>
      <w:r w:rsidR="002F2688" w:rsidRPr="00D9553E">
        <w:rPr>
          <w:rFonts w:ascii="Times New Roman" w:hAnsi="Times New Roman" w:cs="Times New Roman"/>
          <w:sz w:val="24"/>
          <w:szCs w:val="24"/>
        </w:rPr>
        <w:t xml:space="preserve"> </w:t>
      </w:r>
      <w:r w:rsidR="00036CEF" w:rsidRPr="00D9553E">
        <w:rPr>
          <w:rFonts w:ascii="Times New Roman" w:hAnsi="Times New Roman" w:cs="Times New Roman"/>
          <w:sz w:val="24"/>
          <w:szCs w:val="24"/>
        </w:rPr>
        <w:t xml:space="preserve">in assenza di dati scientifici certi </w:t>
      </w:r>
      <w:proofErr w:type="gramStart"/>
      <w:r w:rsidR="00036CEF" w:rsidRPr="00D9553E">
        <w:rPr>
          <w:rFonts w:ascii="Times New Roman" w:hAnsi="Times New Roman" w:cs="Times New Roman"/>
          <w:sz w:val="24"/>
          <w:szCs w:val="24"/>
        </w:rPr>
        <w:t>in ordine alla</w:t>
      </w:r>
      <w:proofErr w:type="gramEnd"/>
      <w:r w:rsidR="00036CEF" w:rsidRPr="00D9553E">
        <w:rPr>
          <w:rFonts w:ascii="Times New Roman" w:hAnsi="Times New Roman" w:cs="Times New Roman"/>
          <w:sz w:val="24"/>
          <w:szCs w:val="24"/>
        </w:rPr>
        <w:t xml:space="preserve"> correlazione tra la condotta che si intende vietare o imporre ed il danno alla salute ed all’ambiente che si intende prevenire, </w:t>
      </w:r>
      <w:r w:rsidR="002F2688" w:rsidRPr="00D9553E">
        <w:rPr>
          <w:rFonts w:ascii="Times New Roman" w:hAnsi="Times New Roman" w:cs="Times New Roman"/>
          <w:sz w:val="24"/>
          <w:szCs w:val="24"/>
        </w:rPr>
        <w:t xml:space="preserve">sia svolta un’attività istruttoria rigorosa </w:t>
      </w:r>
      <w:r w:rsidR="00503D4A" w:rsidRPr="00D9553E">
        <w:rPr>
          <w:rFonts w:ascii="Times New Roman" w:hAnsi="Times New Roman" w:cs="Times New Roman"/>
          <w:sz w:val="24"/>
          <w:szCs w:val="24"/>
        </w:rPr>
        <w:t xml:space="preserve">(addirittura “ineccepibile” la </w:t>
      </w:r>
      <w:r w:rsidR="00414658">
        <w:rPr>
          <w:rFonts w:ascii="Times New Roman" w:hAnsi="Times New Roman" w:cs="Times New Roman"/>
          <w:sz w:val="24"/>
          <w:szCs w:val="24"/>
        </w:rPr>
        <w:t>definisce il Consiglio di Stato</w:t>
      </w:r>
      <w:r w:rsidR="00414658">
        <w:rPr>
          <w:rStyle w:val="Rimandonotaapidipagina"/>
          <w:rFonts w:ascii="Times New Roman" w:hAnsi="Times New Roman" w:cs="Times New Roman"/>
          <w:sz w:val="24"/>
          <w:szCs w:val="24"/>
        </w:rPr>
        <w:footnoteReference w:id="51"/>
      </w:r>
      <w:proofErr w:type="gramStart"/>
      <w:r w:rsidR="002F2688" w:rsidRPr="00D9553E">
        <w:rPr>
          <w:rFonts w:ascii="Times New Roman" w:hAnsi="Times New Roman" w:cs="Times New Roman"/>
          <w:sz w:val="24"/>
          <w:szCs w:val="24"/>
        </w:rPr>
        <w:t>)</w:t>
      </w:r>
      <w:r w:rsidR="00D76EF1" w:rsidRPr="00D9553E">
        <w:rPr>
          <w:rFonts w:ascii="Times New Roman" w:hAnsi="Times New Roman" w:cs="Times New Roman"/>
          <w:sz w:val="24"/>
          <w:szCs w:val="24"/>
        </w:rPr>
        <w:t>,</w:t>
      </w:r>
      <w:proofErr w:type="gramEnd"/>
      <w:r w:rsidR="0092185B" w:rsidRPr="00D9553E">
        <w:rPr>
          <w:rFonts w:ascii="Times New Roman" w:hAnsi="Times New Roman" w:cs="Times New Roman"/>
          <w:sz w:val="24"/>
          <w:szCs w:val="24"/>
        </w:rPr>
        <w:t xml:space="preserve"> </w:t>
      </w:r>
      <w:r w:rsidR="002F2688" w:rsidRPr="00D9553E">
        <w:rPr>
          <w:rFonts w:ascii="Times New Roman" w:hAnsi="Times New Roman" w:cs="Times New Roman"/>
          <w:sz w:val="24"/>
          <w:szCs w:val="24"/>
        </w:rPr>
        <w:t>anche attraverso il coinvolgimento dei cittadini, delle loro formazioni sociali e delle comunità di riferimento, nell'esercizio della funzione (globalmente rilevante) di amm</w:t>
      </w:r>
      <w:r w:rsidR="00D92BDE" w:rsidRPr="00D9553E">
        <w:rPr>
          <w:rFonts w:ascii="Times New Roman" w:hAnsi="Times New Roman" w:cs="Times New Roman"/>
          <w:sz w:val="24"/>
          <w:szCs w:val="24"/>
        </w:rPr>
        <w:t>inistrazione del rischio</w:t>
      </w:r>
      <w:r w:rsidR="000E1334" w:rsidRPr="00D9553E">
        <w:rPr>
          <w:rStyle w:val="Rimandonotaapidipagina"/>
          <w:rFonts w:ascii="Times New Roman" w:hAnsi="Times New Roman" w:cs="Times New Roman"/>
          <w:sz w:val="24"/>
          <w:szCs w:val="24"/>
        </w:rPr>
        <w:footnoteReference w:id="52"/>
      </w:r>
      <w:r w:rsidR="00036CEF" w:rsidRPr="00D9553E">
        <w:rPr>
          <w:rFonts w:ascii="Times New Roman" w:hAnsi="Times New Roman" w:cs="Times New Roman"/>
          <w:sz w:val="24"/>
          <w:szCs w:val="24"/>
        </w:rPr>
        <w:t xml:space="preserve">. </w:t>
      </w:r>
    </w:p>
    <w:p w14:paraId="1719B2AF" w14:textId="43DAE21E" w:rsidR="001D27EC" w:rsidRPr="00D9553E" w:rsidRDefault="00935F6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23D95" w:rsidRPr="00D9553E">
        <w:rPr>
          <w:rFonts w:ascii="Times New Roman" w:hAnsi="Times New Roman" w:cs="Times New Roman"/>
          <w:sz w:val="24"/>
          <w:szCs w:val="24"/>
        </w:rPr>
        <w:t>Conclusa la fase istruttoria, l’Amministrazione dovrà valutare l’opportunità di intervenire (fase della “gestione del rischio”) con un provvedimento idoneo a prevenire</w:t>
      </w:r>
      <w:r w:rsidR="00F23D95" w:rsidRPr="00D9553E">
        <w:rPr>
          <w:rFonts w:ascii="Times New Roman" w:hAnsi="Times New Roman" w:cs="Times New Roman"/>
          <w:i/>
          <w:sz w:val="24"/>
          <w:szCs w:val="24"/>
        </w:rPr>
        <w:t xml:space="preserve"> </w:t>
      </w:r>
      <w:r w:rsidR="00F23D95" w:rsidRPr="00D9553E">
        <w:rPr>
          <w:rFonts w:ascii="Times New Roman" w:hAnsi="Times New Roman" w:cs="Times New Roman"/>
          <w:sz w:val="24"/>
          <w:szCs w:val="24"/>
        </w:rPr>
        <w:t>i rischi potenziali per la sanità pubblica, per la sicurezza e per l'ambiente</w:t>
      </w:r>
      <w:r w:rsidR="001D27EC" w:rsidRPr="00D9553E">
        <w:rPr>
          <w:rFonts w:ascii="Times New Roman" w:hAnsi="Times New Roman" w:cs="Times New Roman"/>
          <w:sz w:val="24"/>
          <w:szCs w:val="24"/>
        </w:rPr>
        <w:t>.</w:t>
      </w:r>
      <w:r w:rsidR="00F23D95" w:rsidRPr="00D9553E">
        <w:rPr>
          <w:rFonts w:ascii="Times New Roman" w:hAnsi="Times New Roman" w:cs="Times New Roman"/>
          <w:sz w:val="24"/>
          <w:szCs w:val="24"/>
        </w:rPr>
        <w:t xml:space="preserve"> </w:t>
      </w:r>
    </w:p>
    <w:p w14:paraId="4FE8A4B0" w14:textId="56C759CB" w:rsidR="00D31550" w:rsidRPr="00D9553E" w:rsidRDefault="00935F65"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03D4A" w:rsidRPr="00D9553E">
        <w:rPr>
          <w:rFonts w:ascii="Times New Roman" w:hAnsi="Times New Roman" w:cs="Times New Roman"/>
          <w:sz w:val="24"/>
          <w:szCs w:val="24"/>
        </w:rPr>
        <w:t>A</w:t>
      </w:r>
      <w:r w:rsidR="001D27EC" w:rsidRPr="00D9553E">
        <w:rPr>
          <w:rFonts w:ascii="Times New Roman" w:hAnsi="Times New Roman" w:cs="Times New Roman"/>
          <w:sz w:val="24"/>
          <w:szCs w:val="24"/>
        </w:rPr>
        <w:t xml:space="preserve">l </w:t>
      </w:r>
      <w:r w:rsidR="00435E84" w:rsidRPr="00D9553E">
        <w:rPr>
          <w:rFonts w:ascii="Times New Roman" w:hAnsi="Times New Roman" w:cs="Times New Roman"/>
          <w:sz w:val="24"/>
          <w:szCs w:val="24"/>
        </w:rPr>
        <w:t>S</w:t>
      </w:r>
      <w:r w:rsidR="001D27EC" w:rsidRPr="00D9553E">
        <w:rPr>
          <w:rFonts w:ascii="Times New Roman" w:hAnsi="Times New Roman" w:cs="Times New Roman"/>
          <w:sz w:val="24"/>
          <w:szCs w:val="24"/>
        </w:rPr>
        <w:t xml:space="preserve">indaco, nell’esercizio </w:t>
      </w:r>
      <w:r w:rsidR="002301CE" w:rsidRPr="00D9553E">
        <w:rPr>
          <w:rFonts w:ascii="Times New Roman" w:hAnsi="Times New Roman" w:cs="Times New Roman"/>
          <w:sz w:val="24"/>
          <w:szCs w:val="24"/>
        </w:rPr>
        <w:t>dell’</w:t>
      </w:r>
      <w:r w:rsidR="001D27EC" w:rsidRPr="00D9553E">
        <w:rPr>
          <w:rFonts w:ascii="Times New Roman" w:hAnsi="Times New Roman" w:cs="Times New Roman"/>
          <w:sz w:val="24"/>
          <w:szCs w:val="24"/>
        </w:rPr>
        <w:t xml:space="preserve">amplissima discrezionalità che la legge gli riconosce, </w:t>
      </w:r>
      <w:r w:rsidR="00503D4A" w:rsidRPr="00D9553E">
        <w:rPr>
          <w:rFonts w:ascii="Times New Roman" w:hAnsi="Times New Roman" w:cs="Times New Roman"/>
          <w:sz w:val="24"/>
          <w:szCs w:val="24"/>
        </w:rPr>
        <w:t>incombe l’onere di ri</w:t>
      </w:r>
      <w:r w:rsidR="001D27EC" w:rsidRPr="00D9553E">
        <w:rPr>
          <w:rFonts w:ascii="Times New Roman" w:hAnsi="Times New Roman" w:cs="Times New Roman"/>
          <w:sz w:val="24"/>
          <w:szCs w:val="24"/>
        </w:rPr>
        <w:t xml:space="preserve">cercare un non facile </w:t>
      </w:r>
      <w:r w:rsidR="0060578D" w:rsidRPr="00D9553E">
        <w:rPr>
          <w:rFonts w:ascii="Times New Roman" w:hAnsi="Times New Roman" w:cs="Times New Roman"/>
          <w:sz w:val="24"/>
          <w:szCs w:val="24"/>
        </w:rPr>
        <w:t>equilibrio tra</w:t>
      </w:r>
      <w:r w:rsidR="00B83B2D" w:rsidRPr="00D9553E">
        <w:rPr>
          <w:rFonts w:ascii="Times New Roman" w:hAnsi="Times New Roman" w:cs="Times New Roman"/>
          <w:sz w:val="24"/>
          <w:szCs w:val="24"/>
        </w:rPr>
        <w:t xml:space="preserve"> il</w:t>
      </w:r>
      <w:r w:rsidR="0092185B" w:rsidRPr="00D9553E">
        <w:rPr>
          <w:rFonts w:ascii="Times New Roman" w:hAnsi="Times New Roman" w:cs="Times New Roman"/>
          <w:sz w:val="24"/>
          <w:szCs w:val="24"/>
        </w:rPr>
        <w:t xml:space="preserve"> </w:t>
      </w:r>
      <w:r w:rsidR="0060578D" w:rsidRPr="00D9553E">
        <w:rPr>
          <w:rFonts w:ascii="Times New Roman" w:hAnsi="Times New Roman" w:cs="Times New Roman"/>
          <w:sz w:val="24"/>
          <w:szCs w:val="24"/>
        </w:rPr>
        <w:t xml:space="preserve">diritto alla salute </w:t>
      </w:r>
      <w:proofErr w:type="gramStart"/>
      <w:r w:rsidR="0060578D" w:rsidRPr="00D9553E">
        <w:rPr>
          <w:rFonts w:ascii="Times New Roman" w:hAnsi="Times New Roman" w:cs="Times New Roman"/>
          <w:sz w:val="24"/>
          <w:szCs w:val="24"/>
        </w:rPr>
        <w:t>ed</w:t>
      </w:r>
      <w:proofErr w:type="gramEnd"/>
      <w:r w:rsidR="0060578D" w:rsidRPr="00D9553E">
        <w:rPr>
          <w:rFonts w:ascii="Times New Roman" w:hAnsi="Times New Roman" w:cs="Times New Roman"/>
          <w:sz w:val="24"/>
          <w:szCs w:val="24"/>
        </w:rPr>
        <w:t xml:space="preserve"> i </w:t>
      </w:r>
      <w:r w:rsidR="00F23D95" w:rsidRPr="00D9553E">
        <w:rPr>
          <w:rFonts w:ascii="Times New Roman" w:hAnsi="Times New Roman" w:cs="Times New Roman"/>
          <w:sz w:val="24"/>
          <w:szCs w:val="24"/>
        </w:rPr>
        <w:t>divergenti interessi</w:t>
      </w:r>
      <w:r w:rsidR="0060578D" w:rsidRPr="00D9553E">
        <w:rPr>
          <w:rFonts w:ascii="Times New Roman" w:hAnsi="Times New Roman" w:cs="Times New Roman"/>
          <w:sz w:val="24"/>
          <w:szCs w:val="24"/>
        </w:rPr>
        <w:t xml:space="preserve"> di rilievo costituzionale (libertà di iniziativa economica, diritto di proprietà, tutela della concorrenza</w:t>
      </w:r>
      <w:r w:rsidR="00EA7BA8" w:rsidRPr="00D9553E">
        <w:rPr>
          <w:rFonts w:ascii="Times New Roman" w:hAnsi="Times New Roman" w:cs="Times New Roman"/>
          <w:sz w:val="24"/>
          <w:szCs w:val="24"/>
        </w:rPr>
        <w:t>, diritto al lavoro</w:t>
      </w:r>
      <w:r w:rsidR="0060578D" w:rsidRPr="00D9553E">
        <w:rPr>
          <w:rFonts w:ascii="Times New Roman" w:hAnsi="Times New Roman" w:cs="Times New Roman"/>
          <w:sz w:val="24"/>
          <w:szCs w:val="24"/>
        </w:rPr>
        <w:t>)</w:t>
      </w:r>
      <w:r w:rsidR="001D27EC" w:rsidRPr="00D9553E">
        <w:rPr>
          <w:rFonts w:ascii="Times New Roman" w:hAnsi="Times New Roman" w:cs="Times New Roman"/>
          <w:sz w:val="24"/>
          <w:szCs w:val="24"/>
        </w:rPr>
        <w:t>,</w:t>
      </w:r>
      <w:r w:rsidR="0060578D" w:rsidRPr="00D9553E">
        <w:rPr>
          <w:rFonts w:ascii="Times New Roman" w:hAnsi="Times New Roman" w:cs="Times New Roman"/>
          <w:sz w:val="24"/>
          <w:szCs w:val="24"/>
        </w:rPr>
        <w:t xml:space="preserve"> </w:t>
      </w:r>
      <w:r w:rsidR="001D27EC" w:rsidRPr="00D9553E">
        <w:rPr>
          <w:rFonts w:ascii="Times New Roman" w:hAnsi="Times New Roman" w:cs="Times New Roman"/>
          <w:sz w:val="24"/>
          <w:szCs w:val="24"/>
        </w:rPr>
        <w:t xml:space="preserve">ricordando però </w:t>
      </w:r>
      <w:r w:rsidR="00503D4A" w:rsidRPr="00D9553E">
        <w:rPr>
          <w:rFonts w:ascii="Times New Roman" w:hAnsi="Times New Roman" w:cs="Times New Roman"/>
          <w:sz w:val="24"/>
          <w:szCs w:val="24"/>
        </w:rPr>
        <w:t>che la C</w:t>
      </w:r>
      <w:r w:rsidR="00EA7BA8" w:rsidRPr="00D9553E">
        <w:rPr>
          <w:rFonts w:ascii="Times New Roman" w:hAnsi="Times New Roman" w:cs="Times New Roman"/>
          <w:sz w:val="24"/>
          <w:szCs w:val="24"/>
        </w:rPr>
        <w:t xml:space="preserve">ostituzione non </w:t>
      </w:r>
      <w:r w:rsidR="001D27EC" w:rsidRPr="00D9553E">
        <w:rPr>
          <w:rFonts w:ascii="Times New Roman" w:hAnsi="Times New Roman" w:cs="Times New Roman"/>
          <w:sz w:val="24"/>
          <w:szCs w:val="24"/>
        </w:rPr>
        <w:t xml:space="preserve">attribuisce </w:t>
      </w:r>
      <w:r w:rsidR="00EA7BA8" w:rsidRPr="00D9553E">
        <w:rPr>
          <w:rFonts w:ascii="Times New Roman" w:hAnsi="Times New Roman" w:cs="Times New Roman"/>
          <w:sz w:val="24"/>
          <w:szCs w:val="24"/>
        </w:rPr>
        <w:t>a</w:t>
      </w:r>
      <w:r w:rsidR="006D26AC" w:rsidRPr="00D9553E">
        <w:rPr>
          <w:rFonts w:ascii="Times New Roman" w:hAnsi="Times New Roman" w:cs="Times New Roman"/>
          <w:sz w:val="24"/>
          <w:szCs w:val="24"/>
        </w:rPr>
        <w:t xml:space="preserve">l primo </w:t>
      </w:r>
      <w:r w:rsidR="00EA7BA8" w:rsidRPr="00D9553E">
        <w:rPr>
          <w:rFonts w:ascii="Times New Roman" w:hAnsi="Times New Roman" w:cs="Times New Roman"/>
          <w:sz w:val="24"/>
          <w:szCs w:val="24"/>
        </w:rPr>
        <w:t>un carattere</w:t>
      </w:r>
      <w:r w:rsidR="00B83B2D" w:rsidRPr="00D9553E">
        <w:rPr>
          <w:rFonts w:ascii="Times New Roman" w:hAnsi="Times New Roman" w:cs="Times New Roman"/>
          <w:sz w:val="24"/>
          <w:szCs w:val="24"/>
        </w:rPr>
        <w:t xml:space="preserve"> pregiudizialmente</w:t>
      </w:r>
      <w:r w:rsidR="0092185B" w:rsidRPr="00D9553E">
        <w:rPr>
          <w:rFonts w:ascii="Times New Roman" w:hAnsi="Times New Roman" w:cs="Times New Roman"/>
          <w:sz w:val="24"/>
          <w:szCs w:val="24"/>
        </w:rPr>
        <w:t xml:space="preserve"> </w:t>
      </w:r>
      <w:r w:rsidR="00EA7BA8" w:rsidRPr="00D9553E">
        <w:rPr>
          <w:rFonts w:ascii="Times New Roman" w:hAnsi="Times New Roman" w:cs="Times New Roman"/>
          <w:sz w:val="24"/>
          <w:szCs w:val="24"/>
        </w:rPr>
        <w:t>preminente</w:t>
      </w:r>
      <w:r w:rsidR="00435E84" w:rsidRPr="00D9553E">
        <w:rPr>
          <w:rFonts w:ascii="Times New Roman" w:hAnsi="Times New Roman" w:cs="Times New Roman"/>
          <w:sz w:val="24"/>
          <w:szCs w:val="24"/>
        </w:rPr>
        <w:t>,</w:t>
      </w:r>
      <w:r w:rsidR="00EA7BA8" w:rsidRPr="00D9553E">
        <w:rPr>
          <w:rFonts w:ascii="Times New Roman" w:hAnsi="Times New Roman" w:cs="Times New Roman"/>
          <w:sz w:val="24"/>
          <w:szCs w:val="24"/>
        </w:rPr>
        <w:t xml:space="preserve"> ma che, al contrario, </w:t>
      </w:r>
      <w:r w:rsidR="0008649B" w:rsidRPr="00D9553E">
        <w:rPr>
          <w:rFonts w:ascii="Times New Roman" w:hAnsi="Times New Roman" w:cs="Times New Roman"/>
          <w:i/>
          <w:sz w:val="24"/>
          <w:szCs w:val="24"/>
        </w:rPr>
        <w:t>«</w:t>
      </w:r>
      <w:r w:rsidR="00EA7BA8" w:rsidRPr="00D9553E">
        <w:rPr>
          <w:rFonts w:ascii="Times New Roman" w:hAnsi="Times New Roman" w:cs="Times New Roman"/>
          <w:i/>
          <w:sz w:val="24"/>
          <w:szCs w:val="24"/>
        </w:rPr>
        <w:t xml:space="preserve">tutti i diritti fondamentali tutelati dalla Costituzione si trovano in rapporto di integrazione reciproca e non è possibile pertanto individuare uno di essi </w:t>
      </w:r>
      <w:r w:rsidR="00EA7BA8" w:rsidRPr="00D9553E">
        <w:rPr>
          <w:rFonts w:ascii="Times New Roman" w:hAnsi="Times New Roman" w:cs="Times New Roman"/>
          <w:i/>
          <w:sz w:val="24"/>
          <w:szCs w:val="24"/>
        </w:rPr>
        <w:lastRenderedPageBreak/>
        <w:t xml:space="preserve">che abbia la </w:t>
      </w:r>
      <w:r w:rsidR="0008649B" w:rsidRPr="00D9553E">
        <w:rPr>
          <w:rFonts w:ascii="Times New Roman" w:hAnsi="Times New Roman" w:cs="Times New Roman"/>
          <w:i/>
          <w:sz w:val="24"/>
          <w:szCs w:val="24"/>
        </w:rPr>
        <w:t>prevalenza assoluta sugli altri»</w:t>
      </w:r>
      <w:r w:rsidR="00A41BB7" w:rsidRPr="00D9553E">
        <w:rPr>
          <w:rFonts w:ascii="Times New Roman" w:hAnsi="Times New Roman" w:cs="Times New Roman"/>
          <w:i/>
          <w:sz w:val="24"/>
          <w:szCs w:val="24"/>
        </w:rPr>
        <w:t>,</w:t>
      </w:r>
      <w:r w:rsidR="0092185B" w:rsidRPr="00D9553E">
        <w:rPr>
          <w:rFonts w:ascii="Times New Roman" w:hAnsi="Times New Roman" w:cs="Times New Roman"/>
          <w:i/>
          <w:sz w:val="24"/>
          <w:szCs w:val="24"/>
        </w:rPr>
        <w:t xml:space="preserve"> </w:t>
      </w:r>
      <w:r w:rsidR="000E1334" w:rsidRPr="00D9553E">
        <w:rPr>
          <w:rFonts w:ascii="Times New Roman" w:hAnsi="Times New Roman" w:cs="Times New Roman"/>
          <w:sz w:val="24"/>
          <w:szCs w:val="24"/>
        </w:rPr>
        <w:t>sicch</w:t>
      </w:r>
      <w:r w:rsidR="00435E84" w:rsidRPr="00D9553E">
        <w:rPr>
          <w:rFonts w:ascii="Times New Roman" w:hAnsi="Times New Roman" w:cs="Times New Roman"/>
          <w:sz w:val="24"/>
          <w:szCs w:val="24"/>
        </w:rPr>
        <w:t>é</w:t>
      </w:r>
      <w:r w:rsidR="00EA7BA8" w:rsidRPr="00D9553E">
        <w:rPr>
          <w:rFonts w:ascii="Times New Roman" w:hAnsi="Times New Roman" w:cs="Times New Roman"/>
          <w:i/>
          <w:sz w:val="24"/>
          <w:szCs w:val="24"/>
        </w:rPr>
        <w:t xml:space="preserve"> </w:t>
      </w:r>
      <w:r w:rsidR="000E1334" w:rsidRPr="00D9553E">
        <w:rPr>
          <w:rFonts w:ascii="Times New Roman" w:hAnsi="Times New Roman" w:cs="Times New Roman"/>
          <w:sz w:val="24"/>
          <w:szCs w:val="24"/>
        </w:rPr>
        <w:t>i</w:t>
      </w:r>
      <w:r w:rsidR="00EA7BA8" w:rsidRPr="00D9553E">
        <w:rPr>
          <w:rFonts w:ascii="Times New Roman" w:hAnsi="Times New Roman" w:cs="Times New Roman"/>
          <w:sz w:val="24"/>
          <w:szCs w:val="24"/>
        </w:rPr>
        <w:t xml:space="preserve">l </w:t>
      </w:r>
      <w:r w:rsidR="001D27EC" w:rsidRPr="00D9553E">
        <w:rPr>
          <w:rFonts w:ascii="Times New Roman" w:hAnsi="Times New Roman" w:cs="Times New Roman"/>
          <w:sz w:val="24"/>
          <w:szCs w:val="24"/>
        </w:rPr>
        <w:t xml:space="preserve">punto di equilibrio </w:t>
      </w:r>
      <w:r w:rsidR="00D140F1" w:rsidRPr="00D9553E">
        <w:rPr>
          <w:rFonts w:ascii="Times New Roman" w:hAnsi="Times New Roman" w:cs="Times New Roman"/>
          <w:sz w:val="24"/>
          <w:szCs w:val="24"/>
        </w:rPr>
        <w:t>tra gli interessi</w:t>
      </w:r>
      <w:r w:rsidR="00EA7BA8" w:rsidRPr="00D9553E">
        <w:rPr>
          <w:rFonts w:ascii="Times New Roman" w:hAnsi="Times New Roman" w:cs="Times New Roman"/>
          <w:i/>
          <w:sz w:val="24"/>
          <w:szCs w:val="24"/>
        </w:rPr>
        <w:t xml:space="preserve"> </w:t>
      </w:r>
      <w:r w:rsidR="0008649B" w:rsidRPr="00D9553E">
        <w:rPr>
          <w:rFonts w:ascii="Times New Roman" w:hAnsi="Times New Roman" w:cs="Times New Roman"/>
          <w:sz w:val="24"/>
          <w:szCs w:val="24"/>
        </w:rPr>
        <w:t>«</w:t>
      </w:r>
      <w:r w:rsidR="00EA7BA8" w:rsidRPr="00D9553E">
        <w:rPr>
          <w:rFonts w:ascii="Times New Roman" w:hAnsi="Times New Roman" w:cs="Times New Roman"/>
          <w:i/>
          <w:sz w:val="24"/>
          <w:szCs w:val="24"/>
        </w:rPr>
        <w:t xml:space="preserve">proprio perché dinamico e non prefissato in anticipo, deve essere valutato </w:t>
      </w:r>
      <w:r w:rsidR="00D140F1" w:rsidRPr="00D9553E">
        <w:rPr>
          <w:rFonts w:ascii="Times New Roman" w:hAnsi="Times New Roman" w:cs="Times New Roman"/>
          <w:i/>
          <w:sz w:val="24"/>
          <w:szCs w:val="24"/>
        </w:rPr>
        <w:t>(…)</w:t>
      </w:r>
      <w:r w:rsidR="00EA7BA8" w:rsidRPr="00D9553E">
        <w:rPr>
          <w:rFonts w:ascii="Times New Roman" w:hAnsi="Times New Roman" w:cs="Times New Roman"/>
          <w:i/>
          <w:sz w:val="24"/>
          <w:szCs w:val="24"/>
        </w:rPr>
        <w:t xml:space="preserve"> secondo criteri di proporzionalità e di ragionevolezza, tali da non consentire un sacrificio del loro nucleo essenziale</w:t>
      </w:r>
      <w:r w:rsidR="0008649B" w:rsidRPr="00D9553E">
        <w:rPr>
          <w:rFonts w:ascii="Times New Roman" w:hAnsi="Times New Roman" w:cs="Times New Roman"/>
          <w:i/>
          <w:sz w:val="24"/>
          <w:szCs w:val="24"/>
        </w:rPr>
        <w:t>»</w:t>
      </w:r>
      <w:r w:rsidR="000E1334" w:rsidRPr="00D9553E">
        <w:rPr>
          <w:rStyle w:val="Rimandonotaapidipagina"/>
          <w:rFonts w:ascii="Times New Roman" w:hAnsi="Times New Roman" w:cs="Times New Roman"/>
          <w:sz w:val="24"/>
          <w:szCs w:val="24"/>
        </w:rPr>
        <w:footnoteReference w:id="53"/>
      </w:r>
      <w:r w:rsidR="00EA7BA8" w:rsidRPr="00D9553E">
        <w:rPr>
          <w:rFonts w:ascii="Times New Roman" w:hAnsi="Times New Roman" w:cs="Times New Roman"/>
          <w:sz w:val="24"/>
          <w:szCs w:val="24"/>
        </w:rPr>
        <w:t xml:space="preserve">. </w:t>
      </w:r>
    </w:p>
    <w:p w14:paraId="2B02C7DC" w14:textId="4BCE4E3D" w:rsidR="006D26AC" w:rsidRPr="00D9553E" w:rsidRDefault="00D140F1" w:rsidP="00E9248E">
      <w:pPr>
        <w:spacing w:after="0" w:line="360" w:lineRule="auto"/>
        <w:contextualSpacing/>
        <w:jc w:val="both"/>
        <w:rPr>
          <w:rFonts w:ascii="Times New Roman" w:hAnsi="Times New Roman" w:cs="Times New Roman"/>
          <w:sz w:val="24"/>
          <w:szCs w:val="24"/>
        </w:rPr>
      </w:pPr>
      <w:r w:rsidRPr="00D9553E">
        <w:rPr>
          <w:rFonts w:ascii="Times New Roman" w:hAnsi="Times New Roman" w:cs="Times New Roman"/>
          <w:sz w:val="24"/>
          <w:szCs w:val="24"/>
        </w:rPr>
        <w:tab/>
      </w:r>
      <w:r w:rsidR="006D26AC" w:rsidRPr="00D9553E">
        <w:rPr>
          <w:rFonts w:ascii="Times New Roman" w:hAnsi="Times New Roman" w:cs="Times New Roman"/>
          <w:sz w:val="24"/>
          <w:szCs w:val="24"/>
        </w:rPr>
        <w:t xml:space="preserve">Il </w:t>
      </w:r>
      <w:r w:rsidR="00630807" w:rsidRPr="00D9553E">
        <w:rPr>
          <w:rFonts w:ascii="Times New Roman" w:hAnsi="Times New Roman" w:cs="Times New Roman"/>
          <w:sz w:val="24"/>
          <w:szCs w:val="24"/>
        </w:rPr>
        <w:t>principio</w:t>
      </w:r>
      <w:r w:rsidR="006D26AC" w:rsidRPr="00D9553E">
        <w:rPr>
          <w:rFonts w:ascii="Times New Roman" w:hAnsi="Times New Roman" w:cs="Times New Roman"/>
          <w:sz w:val="24"/>
          <w:szCs w:val="24"/>
        </w:rPr>
        <w:t xml:space="preserve"> di proporzionalit</w:t>
      </w:r>
      <w:r w:rsidR="003E5A43" w:rsidRPr="00D9553E">
        <w:rPr>
          <w:rFonts w:ascii="Times New Roman" w:hAnsi="Times New Roman" w:cs="Times New Roman"/>
          <w:sz w:val="24"/>
          <w:szCs w:val="24"/>
        </w:rPr>
        <w:t xml:space="preserve">à costituisce, nel diritto vivente, parametro </w:t>
      </w:r>
      <w:r w:rsidR="00A845B6">
        <w:rPr>
          <w:rFonts w:ascii="Times New Roman" w:hAnsi="Times New Roman" w:cs="Times New Roman"/>
          <w:sz w:val="24"/>
          <w:szCs w:val="24"/>
        </w:rPr>
        <w:t>-</w:t>
      </w:r>
      <w:r w:rsidR="003E5A43" w:rsidRPr="00D9553E">
        <w:rPr>
          <w:rFonts w:ascii="Times New Roman" w:hAnsi="Times New Roman" w:cs="Times New Roman"/>
          <w:sz w:val="24"/>
          <w:szCs w:val="24"/>
        </w:rPr>
        <w:t xml:space="preserve">anche di diritto </w:t>
      </w:r>
      <w:proofErr w:type="gramStart"/>
      <w:r w:rsidR="003E5A43" w:rsidRPr="00D9553E">
        <w:rPr>
          <w:rFonts w:ascii="Times New Roman" w:hAnsi="Times New Roman" w:cs="Times New Roman"/>
          <w:sz w:val="24"/>
          <w:szCs w:val="24"/>
        </w:rPr>
        <w:t>positivo</w:t>
      </w:r>
      <w:proofErr w:type="gramEnd"/>
      <w:r w:rsidR="003E5A43" w:rsidRPr="00D9553E">
        <w:rPr>
          <w:rStyle w:val="Rimandonotaapidipagina"/>
          <w:rFonts w:ascii="Times New Roman" w:hAnsi="Times New Roman" w:cs="Times New Roman"/>
          <w:sz w:val="24"/>
          <w:szCs w:val="24"/>
        </w:rPr>
        <w:footnoteReference w:id="54"/>
      </w:r>
      <w:r w:rsidR="00A845B6">
        <w:rPr>
          <w:rFonts w:ascii="Times New Roman" w:hAnsi="Times New Roman" w:cs="Times New Roman"/>
          <w:sz w:val="24"/>
          <w:szCs w:val="24"/>
        </w:rPr>
        <w:t>-</w:t>
      </w:r>
      <w:r w:rsidR="003E5A43" w:rsidRPr="00D9553E">
        <w:rPr>
          <w:rFonts w:ascii="Times New Roman" w:hAnsi="Times New Roman" w:cs="Times New Roman"/>
          <w:sz w:val="24"/>
          <w:szCs w:val="24"/>
        </w:rPr>
        <w:t xml:space="preserve"> </w:t>
      </w:r>
      <w:r w:rsidR="006D26AC" w:rsidRPr="00D9553E">
        <w:rPr>
          <w:rFonts w:ascii="Times New Roman" w:hAnsi="Times New Roman" w:cs="Times New Roman"/>
          <w:sz w:val="24"/>
          <w:szCs w:val="24"/>
        </w:rPr>
        <w:t xml:space="preserve">per graduare le scelte ispirate al </w:t>
      </w:r>
      <w:r w:rsidR="00630807" w:rsidRPr="00D9553E">
        <w:rPr>
          <w:rFonts w:ascii="Times New Roman" w:hAnsi="Times New Roman" w:cs="Times New Roman"/>
          <w:sz w:val="24"/>
          <w:szCs w:val="24"/>
        </w:rPr>
        <w:t>principio</w:t>
      </w:r>
      <w:r w:rsidR="006D26AC" w:rsidRPr="00D9553E">
        <w:rPr>
          <w:rFonts w:ascii="Times New Roman" w:hAnsi="Times New Roman" w:cs="Times New Roman"/>
          <w:sz w:val="24"/>
          <w:szCs w:val="24"/>
        </w:rPr>
        <w:t xml:space="preserve"> di precauzione</w:t>
      </w:r>
      <w:proofErr w:type="gramStart"/>
      <w:r w:rsidR="006D26AC" w:rsidRPr="00D9553E">
        <w:rPr>
          <w:rStyle w:val="Rimandonotaapidipagina"/>
          <w:rFonts w:ascii="Times New Roman" w:hAnsi="Times New Roman" w:cs="Times New Roman"/>
          <w:sz w:val="24"/>
          <w:szCs w:val="24"/>
        </w:rPr>
        <w:footnoteReference w:id="55"/>
      </w:r>
      <w:r w:rsidR="006D26AC" w:rsidRPr="00D9553E">
        <w:rPr>
          <w:rFonts w:ascii="Times New Roman" w:hAnsi="Times New Roman" w:cs="Times New Roman"/>
          <w:sz w:val="24"/>
          <w:szCs w:val="24"/>
        </w:rPr>
        <w:t xml:space="preserve"> </w:t>
      </w:r>
      <w:proofErr w:type="gramEnd"/>
      <w:r w:rsidR="009603DD" w:rsidRPr="00D9553E">
        <w:rPr>
          <w:rFonts w:ascii="Times New Roman" w:hAnsi="Times New Roman" w:cs="Times New Roman"/>
          <w:sz w:val="24"/>
          <w:szCs w:val="24"/>
        </w:rPr>
        <w:t xml:space="preserve">ed </w:t>
      </w:r>
      <w:r w:rsidR="006D26AC" w:rsidRPr="00D9553E">
        <w:rPr>
          <w:rFonts w:ascii="Times New Roman" w:hAnsi="Times New Roman" w:cs="Times New Roman"/>
          <w:sz w:val="24"/>
          <w:szCs w:val="24"/>
        </w:rPr>
        <w:t>al tempo stesso limite al potere di ordinanza</w:t>
      </w:r>
      <w:r w:rsidR="009603DD" w:rsidRPr="00D9553E">
        <w:rPr>
          <w:rStyle w:val="Rimandonotaapidipagina"/>
          <w:rFonts w:ascii="Times New Roman" w:hAnsi="Times New Roman" w:cs="Times New Roman"/>
          <w:sz w:val="24"/>
          <w:szCs w:val="24"/>
        </w:rPr>
        <w:footnoteReference w:id="56"/>
      </w:r>
      <w:r w:rsidR="006D26AC" w:rsidRPr="00D9553E">
        <w:rPr>
          <w:rFonts w:ascii="Times New Roman" w:hAnsi="Times New Roman" w:cs="Times New Roman"/>
          <w:sz w:val="24"/>
          <w:szCs w:val="24"/>
        </w:rPr>
        <w:t xml:space="preserve">. </w:t>
      </w:r>
    </w:p>
    <w:p w14:paraId="24BA072F" w14:textId="1E9B0B2D" w:rsidR="00216D10" w:rsidRDefault="00756B67" w:rsidP="00E9248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È</w:t>
      </w:r>
      <w:r w:rsidR="00BC1177" w:rsidRPr="00D9553E">
        <w:rPr>
          <w:rFonts w:ascii="Times New Roman" w:hAnsi="Times New Roman" w:cs="Times New Roman"/>
          <w:sz w:val="24"/>
          <w:szCs w:val="24"/>
        </w:rPr>
        <w:t xml:space="preserve"> </w:t>
      </w:r>
      <w:r w:rsidR="006D26AC" w:rsidRPr="00D9553E">
        <w:rPr>
          <w:rFonts w:ascii="Times New Roman" w:hAnsi="Times New Roman" w:cs="Times New Roman"/>
          <w:sz w:val="24"/>
          <w:szCs w:val="24"/>
        </w:rPr>
        <w:t>nella proporzionalità</w:t>
      </w:r>
      <w:r w:rsidR="009603DD" w:rsidRPr="00D9553E">
        <w:rPr>
          <w:rFonts w:ascii="Times New Roman" w:hAnsi="Times New Roman" w:cs="Times New Roman"/>
          <w:sz w:val="24"/>
          <w:szCs w:val="24"/>
        </w:rPr>
        <w:t xml:space="preserve"> -con i su</w:t>
      </w:r>
      <w:r w:rsidR="00766215" w:rsidRPr="00D9553E">
        <w:rPr>
          <w:rFonts w:ascii="Times New Roman" w:hAnsi="Times New Roman" w:cs="Times New Roman"/>
          <w:sz w:val="24"/>
          <w:szCs w:val="24"/>
        </w:rPr>
        <w:t>o</w:t>
      </w:r>
      <w:r w:rsidR="009603DD" w:rsidRPr="00D9553E">
        <w:rPr>
          <w:rFonts w:ascii="Times New Roman" w:hAnsi="Times New Roman" w:cs="Times New Roman"/>
          <w:sz w:val="24"/>
          <w:szCs w:val="24"/>
        </w:rPr>
        <w:t xml:space="preserve">i corollari di gradualità </w:t>
      </w:r>
      <w:proofErr w:type="gramStart"/>
      <w:r w:rsidR="009603DD" w:rsidRPr="00D9553E">
        <w:rPr>
          <w:rFonts w:ascii="Times New Roman" w:hAnsi="Times New Roman" w:cs="Times New Roman"/>
          <w:sz w:val="24"/>
          <w:szCs w:val="24"/>
        </w:rPr>
        <w:t>ed</w:t>
      </w:r>
      <w:proofErr w:type="gramEnd"/>
      <w:r w:rsidR="009603DD" w:rsidRPr="00D9553E">
        <w:rPr>
          <w:rFonts w:ascii="Times New Roman" w:hAnsi="Times New Roman" w:cs="Times New Roman"/>
          <w:sz w:val="24"/>
          <w:szCs w:val="24"/>
        </w:rPr>
        <w:t xml:space="preserve"> adeguatezza-</w:t>
      </w:r>
      <w:r w:rsidR="006D26AC" w:rsidRPr="00D9553E">
        <w:rPr>
          <w:rFonts w:ascii="Times New Roman" w:hAnsi="Times New Roman" w:cs="Times New Roman"/>
          <w:sz w:val="24"/>
          <w:szCs w:val="24"/>
        </w:rPr>
        <w:t xml:space="preserve"> dunque, che </w:t>
      </w:r>
      <w:r w:rsidR="00BC1177" w:rsidRPr="00D9553E">
        <w:rPr>
          <w:rFonts w:ascii="Times New Roman" w:hAnsi="Times New Roman" w:cs="Times New Roman"/>
          <w:sz w:val="24"/>
          <w:szCs w:val="24"/>
        </w:rPr>
        <w:t>il potere</w:t>
      </w:r>
      <w:r w:rsidR="00A41BB7" w:rsidRPr="00D9553E">
        <w:rPr>
          <w:rFonts w:ascii="Times New Roman" w:hAnsi="Times New Roman" w:cs="Times New Roman"/>
          <w:sz w:val="24"/>
          <w:szCs w:val="24"/>
        </w:rPr>
        <w:t xml:space="preserve"> sindacale</w:t>
      </w:r>
      <w:r w:rsidR="0092185B" w:rsidRPr="00D9553E">
        <w:rPr>
          <w:rFonts w:ascii="Times New Roman" w:hAnsi="Times New Roman" w:cs="Times New Roman"/>
          <w:sz w:val="24"/>
          <w:szCs w:val="24"/>
        </w:rPr>
        <w:t xml:space="preserve"> </w:t>
      </w:r>
      <w:r w:rsidR="00BC1177" w:rsidRPr="00D9553E">
        <w:rPr>
          <w:rFonts w:ascii="Times New Roman" w:hAnsi="Times New Roman" w:cs="Times New Roman"/>
          <w:sz w:val="24"/>
          <w:szCs w:val="24"/>
        </w:rPr>
        <w:t>di ordinanza</w:t>
      </w:r>
      <w:r w:rsidR="0092185B" w:rsidRPr="00D9553E">
        <w:rPr>
          <w:rFonts w:ascii="Times New Roman" w:hAnsi="Times New Roman" w:cs="Times New Roman"/>
          <w:sz w:val="24"/>
          <w:szCs w:val="24"/>
        </w:rPr>
        <w:t xml:space="preserve"> </w:t>
      </w:r>
      <w:r w:rsidR="00A41BB7" w:rsidRPr="00D9553E">
        <w:rPr>
          <w:rFonts w:ascii="Times New Roman" w:hAnsi="Times New Roman" w:cs="Times New Roman"/>
          <w:sz w:val="24"/>
          <w:szCs w:val="24"/>
        </w:rPr>
        <w:t xml:space="preserve">sembra </w:t>
      </w:r>
      <w:r w:rsidR="00303317" w:rsidRPr="00D9553E">
        <w:rPr>
          <w:rFonts w:ascii="Times New Roman" w:hAnsi="Times New Roman" w:cs="Times New Roman"/>
          <w:sz w:val="24"/>
          <w:szCs w:val="24"/>
        </w:rPr>
        <w:t>trova</w:t>
      </w:r>
      <w:r w:rsidR="00A41BB7" w:rsidRPr="00D9553E">
        <w:rPr>
          <w:rFonts w:ascii="Times New Roman" w:hAnsi="Times New Roman" w:cs="Times New Roman"/>
          <w:sz w:val="24"/>
          <w:szCs w:val="24"/>
        </w:rPr>
        <w:t>re</w:t>
      </w:r>
      <w:r w:rsidR="0092185B" w:rsidRPr="00D9553E">
        <w:rPr>
          <w:rFonts w:ascii="Times New Roman" w:hAnsi="Times New Roman" w:cs="Times New Roman"/>
          <w:sz w:val="24"/>
          <w:szCs w:val="24"/>
        </w:rPr>
        <w:t xml:space="preserve"> </w:t>
      </w:r>
      <w:r w:rsidR="00303317" w:rsidRPr="00D9553E">
        <w:rPr>
          <w:rFonts w:ascii="Times New Roman" w:hAnsi="Times New Roman" w:cs="Times New Roman"/>
          <w:sz w:val="24"/>
          <w:szCs w:val="24"/>
        </w:rPr>
        <w:t xml:space="preserve">la via di una convivenza possibile con il </w:t>
      </w:r>
      <w:r w:rsidR="00630807" w:rsidRPr="00D9553E">
        <w:rPr>
          <w:rFonts w:ascii="Times New Roman" w:hAnsi="Times New Roman" w:cs="Times New Roman"/>
          <w:sz w:val="24"/>
          <w:szCs w:val="24"/>
        </w:rPr>
        <w:t>principio</w:t>
      </w:r>
      <w:r w:rsidR="00303317" w:rsidRPr="00D9553E">
        <w:rPr>
          <w:rFonts w:ascii="Times New Roman" w:hAnsi="Times New Roman" w:cs="Times New Roman"/>
          <w:sz w:val="24"/>
          <w:szCs w:val="24"/>
        </w:rPr>
        <w:t xml:space="preserve"> di </w:t>
      </w:r>
      <w:r w:rsidR="00D140F1" w:rsidRPr="00D9553E">
        <w:rPr>
          <w:rFonts w:ascii="Times New Roman" w:hAnsi="Times New Roman" w:cs="Times New Roman"/>
          <w:sz w:val="24"/>
          <w:szCs w:val="24"/>
        </w:rPr>
        <w:t>precauzione</w:t>
      </w:r>
      <w:r w:rsidR="002301CE">
        <w:rPr>
          <w:rStyle w:val="Rimandonotaapidipagina"/>
          <w:rFonts w:ascii="Times New Roman" w:hAnsi="Times New Roman" w:cs="Times New Roman"/>
          <w:sz w:val="24"/>
          <w:szCs w:val="24"/>
        </w:rPr>
        <w:footnoteReference w:id="57"/>
      </w:r>
      <w:r w:rsidR="00303317" w:rsidRPr="00D9553E">
        <w:rPr>
          <w:rFonts w:ascii="Times New Roman" w:hAnsi="Times New Roman" w:cs="Times New Roman"/>
          <w:sz w:val="24"/>
          <w:szCs w:val="24"/>
        </w:rPr>
        <w:t>.</w:t>
      </w:r>
      <w:r w:rsidR="00D140F1" w:rsidRPr="005B0550">
        <w:rPr>
          <w:rFonts w:ascii="Times New Roman" w:hAnsi="Times New Roman" w:cs="Times New Roman"/>
          <w:sz w:val="24"/>
          <w:szCs w:val="24"/>
        </w:rPr>
        <w:t xml:space="preserve"> </w:t>
      </w:r>
    </w:p>
    <w:p w14:paraId="7568A671" w14:textId="77777777" w:rsidR="006212B7" w:rsidRDefault="006212B7" w:rsidP="00E9248E">
      <w:pPr>
        <w:spacing w:after="0" w:line="360" w:lineRule="auto"/>
        <w:contextualSpacing/>
        <w:jc w:val="both"/>
        <w:rPr>
          <w:rFonts w:ascii="Times New Roman" w:hAnsi="Times New Roman" w:cs="Times New Roman"/>
          <w:sz w:val="24"/>
          <w:szCs w:val="24"/>
        </w:rPr>
      </w:pPr>
    </w:p>
    <w:p w14:paraId="4AC63A7B" w14:textId="77777777" w:rsidR="006212B7" w:rsidRDefault="006212B7" w:rsidP="00E9248E">
      <w:pPr>
        <w:spacing w:after="0" w:line="360" w:lineRule="auto"/>
        <w:contextualSpacing/>
        <w:jc w:val="both"/>
        <w:rPr>
          <w:rFonts w:ascii="Times New Roman" w:hAnsi="Times New Roman" w:cs="Times New Roman"/>
          <w:sz w:val="24"/>
          <w:szCs w:val="24"/>
        </w:rPr>
      </w:pPr>
    </w:p>
    <w:p w14:paraId="6B7C502C" w14:textId="77777777" w:rsidR="00EE7B8B" w:rsidRDefault="00EE7B8B" w:rsidP="00E9248E">
      <w:pPr>
        <w:spacing w:after="0" w:line="360" w:lineRule="auto"/>
        <w:contextualSpacing/>
        <w:jc w:val="both"/>
        <w:rPr>
          <w:rFonts w:ascii="Times New Roman" w:hAnsi="Times New Roman" w:cs="Times New Roman"/>
          <w:sz w:val="24"/>
          <w:szCs w:val="24"/>
        </w:rPr>
      </w:pPr>
    </w:p>
    <w:p w14:paraId="6F0B13B1" w14:textId="5FD0ED34" w:rsidR="006212B7" w:rsidRPr="00EB652A" w:rsidRDefault="00EE7B8B" w:rsidP="00B7232B">
      <w:pPr>
        <w:spacing w:after="0" w:line="240" w:lineRule="auto"/>
        <w:contextualSpacing/>
        <w:jc w:val="both"/>
        <w:rPr>
          <w:rFonts w:ascii="Times New Roman" w:hAnsi="Times New Roman" w:cs="Times New Roman"/>
          <w:i/>
          <w:sz w:val="24"/>
          <w:szCs w:val="24"/>
          <w:lang w:val="en-GB"/>
        </w:rPr>
      </w:pPr>
      <w:r w:rsidRPr="00EB652A">
        <w:rPr>
          <w:rFonts w:ascii="Times New Roman" w:hAnsi="Times New Roman" w:cs="Times New Roman"/>
          <w:i/>
          <w:sz w:val="24"/>
          <w:szCs w:val="24"/>
          <w:lang w:val="en-GB"/>
        </w:rPr>
        <w:lastRenderedPageBreak/>
        <w:t>Abstract:</w:t>
      </w:r>
      <w:r w:rsidR="00E26861">
        <w:rPr>
          <w:rFonts w:ascii="Times New Roman" w:hAnsi="Times New Roman" w:cs="Times New Roman"/>
          <w:i/>
          <w:sz w:val="24"/>
          <w:szCs w:val="24"/>
          <w:lang w:val="en-GB"/>
        </w:rPr>
        <w:t xml:space="preserve"> </w:t>
      </w:r>
      <w:r w:rsidR="006D7ABE">
        <w:rPr>
          <w:rFonts w:ascii="Times New Roman" w:hAnsi="Times New Roman" w:cs="Times New Roman"/>
          <w:i/>
          <w:sz w:val="24"/>
          <w:szCs w:val="24"/>
          <w:lang w:val="en-GB"/>
        </w:rPr>
        <w:t>The</w:t>
      </w:r>
      <w:r w:rsidR="00E21036">
        <w:rPr>
          <w:rFonts w:ascii="Times New Roman" w:hAnsi="Times New Roman" w:cs="Times New Roman"/>
          <w:i/>
          <w:sz w:val="24"/>
          <w:szCs w:val="24"/>
          <w:lang w:val="en-GB"/>
        </w:rPr>
        <w:t xml:space="preserve"> </w:t>
      </w:r>
      <w:r w:rsidR="006D7ABE">
        <w:rPr>
          <w:rFonts w:ascii="Times New Roman" w:hAnsi="Times New Roman" w:cs="Times New Roman"/>
          <w:i/>
          <w:sz w:val="24"/>
          <w:szCs w:val="24"/>
          <w:lang w:val="en-GB"/>
        </w:rPr>
        <w:t>study starts from the</w:t>
      </w:r>
      <w:r w:rsidR="005F1672">
        <w:rPr>
          <w:rFonts w:ascii="Times New Roman" w:hAnsi="Times New Roman" w:cs="Times New Roman"/>
          <w:i/>
          <w:sz w:val="24"/>
          <w:szCs w:val="24"/>
          <w:lang w:val="en-GB"/>
        </w:rPr>
        <w:t xml:space="preserve"> observation of the gradual extension</w:t>
      </w:r>
      <w:r w:rsidR="00C561E9">
        <w:rPr>
          <w:rFonts w:ascii="Times New Roman" w:hAnsi="Times New Roman" w:cs="Times New Roman"/>
          <w:i/>
          <w:sz w:val="24"/>
          <w:szCs w:val="24"/>
          <w:lang w:val="en-GB"/>
        </w:rPr>
        <w:t xml:space="preserve"> by way of interpretation of the </w:t>
      </w:r>
      <w:r w:rsidR="00BD6B40">
        <w:rPr>
          <w:rFonts w:ascii="Times New Roman" w:hAnsi="Times New Roman" w:cs="Times New Roman"/>
          <w:i/>
          <w:sz w:val="24"/>
          <w:szCs w:val="24"/>
          <w:lang w:val="en-GB"/>
        </w:rPr>
        <w:t>emergency powers</w:t>
      </w:r>
      <w:r w:rsidR="00AE5EEA" w:rsidRPr="00AE5EEA">
        <w:rPr>
          <w:rFonts w:ascii="Times New Roman" w:hAnsi="Times New Roman" w:cs="Times New Roman"/>
          <w:i/>
          <w:sz w:val="24"/>
          <w:szCs w:val="24"/>
          <w:lang w:val="en-GB"/>
        </w:rPr>
        <w:t xml:space="preserve"> </w:t>
      </w:r>
      <w:r w:rsidR="00AE5EEA">
        <w:rPr>
          <w:rFonts w:ascii="Times New Roman" w:hAnsi="Times New Roman" w:cs="Times New Roman"/>
          <w:i/>
          <w:sz w:val="24"/>
          <w:szCs w:val="24"/>
          <w:lang w:val="en-GB"/>
        </w:rPr>
        <w:t>of the Mayor</w:t>
      </w:r>
      <w:r w:rsidR="00117167">
        <w:rPr>
          <w:rFonts w:ascii="Times New Roman" w:hAnsi="Times New Roman" w:cs="Times New Roman"/>
          <w:i/>
          <w:sz w:val="24"/>
          <w:szCs w:val="24"/>
          <w:lang w:val="en-GB"/>
        </w:rPr>
        <w:t>,</w:t>
      </w:r>
      <w:r w:rsidR="00C561E9">
        <w:rPr>
          <w:rFonts w:ascii="Times New Roman" w:hAnsi="Times New Roman" w:cs="Times New Roman"/>
          <w:i/>
          <w:sz w:val="24"/>
          <w:szCs w:val="24"/>
          <w:lang w:val="en-GB"/>
        </w:rPr>
        <w:t xml:space="preserve"> </w:t>
      </w:r>
      <w:r w:rsidR="00117167">
        <w:rPr>
          <w:rFonts w:ascii="Times New Roman" w:hAnsi="Times New Roman" w:cs="Times New Roman"/>
          <w:i/>
          <w:sz w:val="24"/>
          <w:szCs w:val="24"/>
          <w:lang w:val="en-GB"/>
        </w:rPr>
        <w:t>applied precautionary</w:t>
      </w:r>
      <w:r w:rsidR="00C6155F">
        <w:rPr>
          <w:rFonts w:ascii="Times New Roman" w:hAnsi="Times New Roman" w:cs="Times New Roman"/>
          <w:i/>
          <w:sz w:val="24"/>
          <w:szCs w:val="24"/>
          <w:lang w:val="en-GB"/>
        </w:rPr>
        <w:t xml:space="preserve"> to the management of the “health risk”;</w:t>
      </w:r>
      <w:r w:rsidR="00CF5122">
        <w:rPr>
          <w:rFonts w:ascii="Times New Roman" w:hAnsi="Times New Roman" w:cs="Times New Roman"/>
          <w:i/>
          <w:sz w:val="24"/>
          <w:szCs w:val="24"/>
          <w:lang w:val="en-GB"/>
        </w:rPr>
        <w:t xml:space="preserve"> </w:t>
      </w:r>
      <w:r w:rsidR="00D272B1">
        <w:rPr>
          <w:rFonts w:ascii="Times New Roman" w:hAnsi="Times New Roman" w:cs="Times New Roman"/>
          <w:i/>
          <w:sz w:val="24"/>
          <w:szCs w:val="24"/>
          <w:lang w:val="en-GB"/>
        </w:rPr>
        <w:t xml:space="preserve">it </w:t>
      </w:r>
      <w:r w:rsidR="00CF5122">
        <w:rPr>
          <w:rFonts w:ascii="Times New Roman" w:hAnsi="Times New Roman" w:cs="Times New Roman"/>
          <w:i/>
          <w:sz w:val="24"/>
          <w:szCs w:val="24"/>
          <w:lang w:val="en-GB"/>
        </w:rPr>
        <w:t xml:space="preserve">meanders through the </w:t>
      </w:r>
      <w:r w:rsidR="0037641B">
        <w:rPr>
          <w:rFonts w:ascii="Times New Roman" w:hAnsi="Times New Roman" w:cs="Times New Roman"/>
          <w:i/>
          <w:sz w:val="24"/>
          <w:szCs w:val="24"/>
          <w:lang w:val="en-GB"/>
        </w:rPr>
        <w:t>reconstruction of the normative sources</w:t>
      </w:r>
      <w:r w:rsidR="00C25E50">
        <w:rPr>
          <w:rFonts w:ascii="Times New Roman" w:hAnsi="Times New Roman" w:cs="Times New Roman"/>
          <w:i/>
          <w:sz w:val="24"/>
          <w:szCs w:val="24"/>
          <w:lang w:val="en-GB"/>
        </w:rPr>
        <w:t xml:space="preserve"> and the roots in theory</w:t>
      </w:r>
      <w:r w:rsidR="00DA3631">
        <w:rPr>
          <w:rFonts w:ascii="Times New Roman" w:hAnsi="Times New Roman" w:cs="Times New Roman"/>
          <w:i/>
          <w:sz w:val="24"/>
          <w:szCs w:val="24"/>
          <w:lang w:val="en-GB"/>
        </w:rPr>
        <w:t xml:space="preserve"> of the corresponding power</w:t>
      </w:r>
      <w:r w:rsidR="00C93BBC">
        <w:rPr>
          <w:rFonts w:ascii="Times New Roman" w:hAnsi="Times New Roman" w:cs="Times New Roman"/>
          <w:i/>
          <w:sz w:val="24"/>
          <w:szCs w:val="24"/>
          <w:lang w:val="en-GB"/>
        </w:rPr>
        <w:t xml:space="preserve"> (extra </w:t>
      </w:r>
      <w:proofErr w:type="spellStart"/>
      <w:r w:rsidR="00C93BBC">
        <w:rPr>
          <w:rFonts w:ascii="Times New Roman" w:hAnsi="Times New Roman" w:cs="Times New Roman"/>
          <w:i/>
          <w:sz w:val="24"/>
          <w:szCs w:val="24"/>
          <w:lang w:val="en-GB"/>
        </w:rPr>
        <w:t>ordinem</w:t>
      </w:r>
      <w:proofErr w:type="spellEnd"/>
      <w:r w:rsidR="00C93BBC">
        <w:rPr>
          <w:rFonts w:ascii="Times New Roman" w:hAnsi="Times New Roman" w:cs="Times New Roman"/>
          <w:i/>
          <w:sz w:val="24"/>
          <w:szCs w:val="24"/>
          <w:lang w:val="en-GB"/>
        </w:rPr>
        <w:t xml:space="preserve"> or “ordinary” of the Mayor)</w:t>
      </w:r>
      <w:r w:rsidR="00276637">
        <w:rPr>
          <w:rFonts w:ascii="Times New Roman" w:hAnsi="Times New Roman" w:cs="Times New Roman"/>
          <w:i/>
          <w:sz w:val="24"/>
          <w:szCs w:val="24"/>
          <w:lang w:val="en-GB"/>
        </w:rPr>
        <w:t>;</w:t>
      </w:r>
      <w:r w:rsidR="00E1313D">
        <w:rPr>
          <w:rFonts w:ascii="Times New Roman" w:hAnsi="Times New Roman" w:cs="Times New Roman"/>
          <w:i/>
          <w:sz w:val="24"/>
          <w:szCs w:val="24"/>
          <w:lang w:val="en-GB"/>
        </w:rPr>
        <w:t xml:space="preserve"> </w:t>
      </w:r>
      <w:r w:rsidR="00AE5EEA">
        <w:rPr>
          <w:rFonts w:ascii="Times New Roman" w:hAnsi="Times New Roman" w:cs="Times New Roman"/>
          <w:i/>
          <w:sz w:val="24"/>
          <w:szCs w:val="24"/>
          <w:lang w:val="en-GB"/>
        </w:rPr>
        <w:t xml:space="preserve">and </w:t>
      </w:r>
      <w:r w:rsidR="00D272B1">
        <w:rPr>
          <w:rFonts w:ascii="Times New Roman" w:hAnsi="Times New Roman" w:cs="Times New Roman"/>
          <w:i/>
          <w:sz w:val="24"/>
          <w:szCs w:val="24"/>
          <w:lang w:val="en-GB"/>
        </w:rPr>
        <w:t xml:space="preserve">it </w:t>
      </w:r>
      <w:r w:rsidR="00AE5EEA">
        <w:rPr>
          <w:rFonts w:ascii="Times New Roman" w:hAnsi="Times New Roman" w:cs="Times New Roman"/>
          <w:i/>
          <w:sz w:val="24"/>
          <w:szCs w:val="24"/>
          <w:lang w:val="en-GB"/>
        </w:rPr>
        <w:t>reaches</w:t>
      </w:r>
      <w:r w:rsidR="00E1313D">
        <w:rPr>
          <w:rFonts w:ascii="Times New Roman" w:hAnsi="Times New Roman" w:cs="Times New Roman"/>
          <w:i/>
          <w:sz w:val="24"/>
          <w:szCs w:val="24"/>
          <w:lang w:val="en-GB"/>
        </w:rPr>
        <w:t xml:space="preserve"> </w:t>
      </w:r>
      <w:r w:rsidR="00C524A3">
        <w:rPr>
          <w:rFonts w:ascii="Times New Roman" w:hAnsi="Times New Roman" w:cs="Times New Roman"/>
          <w:i/>
          <w:sz w:val="24"/>
          <w:szCs w:val="24"/>
          <w:lang w:val="en-GB"/>
        </w:rPr>
        <w:t>in terms of reconstructions</w:t>
      </w:r>
      <w:r w:rsidR="007C2C4D">
        <w:rPr>
          <w:rFonts w:ascii="Times New Roman" w:hAnsi="Times New Roman" w:cs="Times New Roman"/>
          <w:i/>
          <w:sz w:val="24"/>
          <w:szCs w:val="24"/>
          <w:lang w:val="en-GB"/>
        </w:rPr>
        <w:t xml:space="preserve"> </w:t>
      </w:r>
      <w:r w:rsidR="007C2C4D" w:rsidRPr="007C2C4D">
        <w:rPr>
          <w:rFonts w:ascii="Times New Roman" w:hAnsi="Times New Roman" w:cs="Times New Roman"/>
          <w:i/>
          <w:sz w:val="24"/>
          <w:szCs w:val="24"/>
          <w:lang w:val="en-GB"/>
        </w:rPr>
        <w:t xml:space="preserve">the </w:t>
      </w:r>
      <w:r w:rsidR="007C2C4D">
        <w:rPr>
          <w:rFonts w:ascii="Times New Roman" w:hAnsi="Times New Roman" w:cs="Times New Roman"/>
          <w:i/>
          <w:sz w:val="24"/>
          <w:szCs w:val="24"/>
          <w:lang w:val="en-GB"/>
        </w:rPr>
        <w:t>necessity to</w:t>
      </w:r>
      <w:r w:rsidR="007C2C4D" w:rsidRPr="007C2C4D">
        <w:rPr>
          <w:rFonts w:ascii="Times New Roman" w:hAnsi="Times New Roman" w:cs="Times New Roman"/>
          <w:i/>
          <w:sz w:val="24"/>
          <w:szCs w:val="24"/>
          <w:lang w:val="en-GB"/>
        </w:rPr>
        <w:t xml:space="preserve"> refer to rules and principles</w:t>
      </w:r>
      <w:r w:rsidR="00667AD8">
        <w:rPr>
          <w:rFonts w:ascii="Times New Roman" w:hAnsi="Times New Roman" w:cs="Times New Roman"/>
          <w:i/>
          <w:sz w:val="24"/>
          <w:szCs w:val="24"/>
          <w:lang w:val="en-GB"/>
        </w:rPr>
        <w:t xml:space="preserve"> (</w:t>
      </w:r>
      <w:r w:rsidR="002B0F88" w:rsidRPr="002B0F88">
        <w:rPr>
          <w:rFonts w:ascii="Times New Roman" w:hAnsi="Times New Roman" w:cs="Times New Roman"/>
          <w:i/>
          <w:sz w:val="24"/>
          <w:szCs w:val="24"/>
          <w:lang w:val="en-GB"/>
        </w:rPr>
        <w:t>notably the principle of proportionality</w:t>
      </w:r>
      <w:r w:rsidR="00AE5EEA">
        <w:rPr>
          <w:rFonts w:ascii="Times New Roman" w:hAnsi="Times New Roman" w:cs="Times New Roman"/>
          <w:i/>
          <w:sz w:val="24"/>
          <w:szCs w:val="24"/>
          <w:lang w:val="en-GB"/>
        </w:rPr>
        <w:t>)</w:t>
      </w:r>
      <w:r w:rsidR="00B30226">
        <w:rPr>
          <w:rFonts w:ascii="Times New Roman" w:hAnsi="Times New Roman" w:cs="Times New Roman"/>
          <w:i/>
          <w:sz w:val="24"/>
          <w:szCs w:val="24"/>
          <w:lang w:val="en-GB"/>
        </w:rPr>
        <w:t xml:space="preserve"> in order to avoid</w:t>
      </w:r>
      <w:r w:rsidR="0085315F">
        <w:rPr>
          <w:rFonts w:ascii="Times New Roman" w:hAnsi="Times New Roman" w:cs="Times New Roman"/>
          <w:i/>
          <w:sz w:val="24"/>
          <w:szCs w:val="24"/>
          <w:lang w:val="en-GB"/>
        </w:rPr>
        <w:t xml:space="preserve"> that </w:t>
      </w:r>
      <w:r w:rsidR="0085315F" w:rsidRPr="0085315F">
        <w:rPr>
          <w:rFonts w:ascii="Times New Roman" w:hAnsi="Times New Roman" w:cs="Times New Roman"/>
          <w:i/>
          <w:sz w:val="24"/>
          <w:szCs w:val="24"/>
          <w:lang w:val="en-GB"/>
        </w:rPr>
        <w:t>an extensive and sometimes relaxed application of the precautionary principle</w:t>
      </w:r>
      <w:r w:rsidR="004A007D">
        <w:rPr>
          <w:rFonts w:ascii="Times New Roman" w:hAnsi="Times New Roman" w:cs="Times New Roman"/>
          <w:i/>
          <w:sz w:val="24"/>
          <w:szCs w:val="24"/>
          <w:lang w:val="en-GB"/>
        </w:rPr>
        <w:t xml:space="preserve"> </w:t>
      </w:r>
      <w:r w:rsidR="004A007D" w:rsidRPr="004A007D">
        <w:rPr>
          <w:rFonts w:ascii="Times New Roman" w:hAnsi="Times New Roman" w:cs="Times New Roman"/>
          <w:i/>
          <w:sz w:val="24"/>
          <w:szCs w:val="24"/>
          <w:lang w:val="en-GB"/>
        </w:rPr>
        <w:t xml:space="preserve">results in some sort of </w:t>
      </w:r>
      <w:r w:rsidR="004A007D">
        <w:rPr>
          <w:rFonts w:ascii="Times New Roman" w:hAnsi="Times New Roman" w:cs="Times New Roman"/>
          <w:i/>
          <w:sz w:val="24"/>
          <w:szCs w:val="24"/>
          <w:lang w:val="en-GB"/>
        </w:rPr>
        <w:t>“</w:t>
      </w:r>
      <w:r w:rsidR="004A007D" w:rsidRPr="004A007D">
        <w:rPr>
          <w:rFonts w:ascii="Times New Roman" w:hAnsi="Times New Roman" w:cs="Times New Roman"/>
          <w:i/>
          <w:sz w:val="24"/>
          <w:szCs w:val="24"/>
          <w:lang w:val="en-GB"/>
        </w:rPr>
        <w:t>Trojan horse</w:t>
      </w:r>
      <w:r w:rsidR="004A007D">
        <w:rPr>
          <w:rFonts w:ascii="Times New Roman" w:hAnsi="Times New Roman" w:cs="Times New Roman"/>
          <w:i/>
          <w:sz w:val="24"/>
          <w:szCs w:val="24"/>
          <w:lang w:val="en-GB"/>
        </w:rPr>
        <w:t>”</w:t>
      </w:r>
      <w:r w:rsidR="00D272B1">
        <w:rPr>
          <w:rFonts w:ascii="Times New Roman" w:hAnsi="Times New Roman" w:cs="Times New Roman"/>
          <w:i/>
          <w:sz w:val="24"/>
          <w:szCs w:val="24"/>
          <w:lang w:val="en-GB"/>
        </w:rPr>
        <w:t>,</w:t>
      </w:r>
      <w:r w:rsidR="00CE5608">
        <w:rPr>
          <w:rFonts w:ascii="Times New Roman" w:hAnsi="Times New Roman" w:cs="Times New Roman"/>
          <w:i/>
          <w:sz w:val="24"/>
          <w:szCs w:val="24"/>
          <w:lang w:val="en-GB"/>
        </w:rPr>
        <w:t xml:space="preserve"> </w:t>
      </w:r>
      <w:r w:rsidR="00CE5608" w:rsidRPr="00CE5608">
        <w:rPr>
          <w:rFonts w:ascii="Times New Roman" w:hAnsi="Times New Roman" w:cs="Times New Roman"/>
          <w:i/>
          <w:sz w:val="24"/>
          <w:szCs w:val="24"/>
          <w:lang w:val="en-GB"/>
        </w:rPr>
        <w:t xml:space="preserve">determining unknowing </w:t>
      </w:r>
      <w:r w:rsidR="00CD6AA0">
        <w:rPr>
          <w:rFonts w:ascii="Times New Roman" w:hAnsi="Times New Roman" w:cs="Times New Roman"/>
          <w:i/>
          <w:sz w:val="24"/>
          <w:szCs w:val="24"/>
          <w:lang w:val="en-GB"/>
        </w:rPr>
        <w:t xml:space="preserve">incursions </w:t>
      </w:r>
      <w:r w:rsidR="00654C09">
        <w:rPr>
          <w:rFonts w:ascii="Times New Roman" w:hAnsi="Times New Roman" w:cs="Times New Roman"/>
          <w:i/>
          <w:sz w:val="24"/>
          <w:szCs w:val="24"/>
          <w:lang w:val="en-GB"/>
        </w:rPr>
        <w:t>through</w:t>
      </w:r>
      <w:r w:rsidR="00CD6AA0" w:rsidRPr="00CD6AA0">
        <w:rPr>
          <w:rFonts w:ascii="Times New Roman" w:hAnsi="Times New Roman" w:cs="Times New Roman"/>
          <w:i/>
          <w:sz w:val="24"/>
          <w:szCs w:val="24"/>
          <w:lang w:val="en-GB"/>
        </w:rPr>
        <w:t xml:space="preserve"> the exercise of </w:t>
      </w:r>
      <w:r w:rsidR="00CD6AA0">
        <w:rPr>
          <w:rFonts w:ascii="Times New Roman" w:hAnsi="Times New Roman" w:cs="Times New Roman"/>
          <w:i/>
          <w:sz w:val="24"/>
          <w:szCs w:val="24"/>
          <w:lang w:val="en-GB"/>
        </w:rPr>
        <w:t>emergency powers</w:t>
      </w:r>
      <w:r w:rsidR="00F77ADC">
        <w:rPr>
          <w:rFonts w:ascii="Times New Roman" w:hAnsi="Times New Roman" w:cs="Times New Roman"/>
          <w:i/>
          <w:sz w:val="24"/>
          <w:szCs w:val="24"/>
          <w:lang w:val="en-GB"/>
        </w:rPr>
        <w:t xml:space="preserve"> by the Mayor</w:t>
      </w:r>
      <w:r w:rsidR="00D272B1">
        <w:rPr>
          <w:rFonts w:ascii="Times New Roman" w:hAnsi="Times New Roman" w:cs="Times New Roman"/>
          <w:i/>
          <w:sz w:val="24"/>
          <w:szCs w:val="24"/>
          <w:lang w:val="en-GB"/>
        </w:rPr>
        <w:t xml:space="preserve"> thus</w:t>
      </w:r>
      <w:r w:rsidR="00306025">
        <w:rPr>
          <w:rFonts w:ascii="Times New Roman" w:hAnsi="Times New Roman" w:cs="Times New Roman"/>
          <w:i/>
          <w:sz w:val="24"/>
          <w:szCs w:val="24"/>
          <w:lang w:val="en-GB"/>
        </w:rPr>
        <w:t xml:space="preserve"> essentially</w:t>
      </w:r>
      <w:r w:rsidR="00467D58">
        <w:rPr>
          <w:rFonts w:ascii="Times New Roman" w:hAnsi="Times New Roman" w:cs="Times New Roman"/>
          <w:i/>
          <w:sz w:val="24"/>
          <w:szCs w:val="24"/>
          <w:lang w:val="en-GB"/>
        </w:rPr>
        <w:t xml:space="preserve"> </w:t>
      </w:r>
      <w:r w:rsidR="00467D58" w:rsidRPr="00467D58">
        <w:rPr>
          <w:rFonts w:ascii="Times New Roman" w:hAnsi="Times New Roman" w:cs="Times New Roman"/>
          <w:i/>
          <w:sz w:val="24"/>
          <w:szCs w:val="24"/>
          <w:lang w:val="en-GB"/>
        </w:rPr>
        <w:t xml:space="preserve">converting arbitrarily </w:t>
      </w:r>
      <w:r w:rsidR="00306025">
        <w:rPr>
          <w:rFonts w:ascii="Times New Roman" w:hAnsi="Times New Roman" w:cs="Times New Roman"/>
          <w:i/>
          <w:sz w:val="24"/>
          <w:szCs w:val="24"/>
          <w:lang w:val="en-GB"/>
        </w:rPr>
        <w:t>such powers</w:t>
      </w:r>
      <w:r w:rsidR="007C07CC">
        <w:rPr>
          <w:rFonts w:ascii="Times New Roman" w:hAnsi="Times New Roman" w:cs="Times New Roman"/>
          <w:i/>
          <w:sz w:val="24"/>
          <w:szCs w:val="24"/>
          <w:lang w:val="en-GB"/>
        </w:rPr>
        <w:t>, which</w:t>
      </w:r>
      <w:r w:rsidR="007C07CC" w:rsidRPr="007C07CC">
        <w:rPr>
          <w:rFonts w:ascii="Times New Roman" w:hAnsi="Times New Roman" w:cs="Times New Roman"/>
          <w:i/>
          <w:sz w:val="24"/>
          <w:szCs w:val="24"/>
          <w:lang w:val="en-GB"/>
        </w:rPr>
        <w:t xml:space="preserve"> can only take </w:t>
      </w:r>
      <w:r w:rsidR="00D272B1">
        <w:rPr>
          <w:rFonts w:ascii="Times New Roman" w:hAnsi="Times New Roman" w:cs="Times New Roman"/>
          <w:i/>
          <w:sz w:val="24"/>
          <w:szCs w:val="24"/>
          <w:lang w:val="en-GB"/>
        </w:rPr>
        <w:t>the form of</w:t>
      </w:r>
      <w:bookmarkStart w:id="0" w:name="_GoBack"/>
      <w:bookmarkEnd w:id="0"/>
      <w:r w:rsidR="007C07CC" w:rsidRPr="007C07CC">
        <w:rPr>
          <w:rFonts w:ascii="Times New Roman" w:hAnsi="Times New Roman" w:cs="Times New Roman"/>
          <w:i/>
          <w:sz w:val="24"/>
          <w:szCs w:val="24"/>
          <w:lang w:val="en-GB"/>
        </w:rPr>
        <w:t xml:space="preserve"> limit</w:t>
      </w:r>
      <w:r w:rsidR="007C07CC">
        <w:rPr>
          <w:rFonts w:ascii="Times New Roman" w:hAnsi="Times New Roman" w:cs="Times New Roman"/>
          <w:i/>
          <w:sz w:val="24"/>
          <w:szCs w:val="24"/>
          <w:lang w:val="en-GB"/>
        </w:rPr>
        <w:t>.</w:t>
      </w:r>
    </w:p>
    <w:p w14:paraId="16FF7227" w14:textId="77777777" w:rsidR="006212B7" w:rsidRDefault="006212B7" w:rsidP="00E9248E">
      <w:pPr>
        <w:spacing w:after="0" w:line="360" w:lineRule="auto"/>
        <w:contextualSpacing/>
        <w:jc w:val="both"/>
        <w:rPr>
          <w:rFonts w:ascii="Times New Roman" w:hAnsi="Times New Roman" w:cs="Times New Roman"/>
          <w:sz w:val="24"/>
          <w:szCs w:val="24"/>
        </w:rPr>
      </w:pPr>
    </w:p>
    <w:p w14:paraId="60CAF797" w14:textId="77777777" w:rsidR="006212B7" w:rsidRDefault="006212B7" w:rsidP="00E9248E">
      <w:pPr>
        <w:spacing w:after="0" w:line="360" w:lineRule="auto"/>
        <w:contextualSpacing/>
        <w:jc w:val="both"/>
        <w:rPr>
          <w:rFonts w:ascii="Times New Roman" w:hAnsi="Times New Roman" w:cs="Times New Roman"/>
          <w:sz w:val="24"/>
          <w:szCs w:val="24"/>
        </w:rPr>
      </w:pPr>
    </w:p>
    <w:p w14:paraId="3C0F9A1D" w14:textId="77777777" w:rsidR="00EE7B8B" w:rsidRDefault="00EE7B8B" w:rsidP="00E9248E">
      <w:pPr>
        <w:spacing w:after="0" w:line="360" w:lineRule="auto"/>
        <w:contextualSpacing/>
        <w:jc w:val="both"/>
        <w:rPr>
          <w:rFonts w:ascii="Times New Roman" w:hAnsi="Times New Roman" w:cs="Times New Roman"/>
          <w:sz w:val="24"/>
          <w:szCs w:val="24"/>
        </w:rPr>
      </w:pPr>
    </w:p>
    <w:p w14:paraId="65894940" w14:textId="161818CB" w:rsidR="006212B7" w:rsidRPr="00D41614" w:rsidRDefault="00813C72" w:rsidP="00E9248E">
      <w:pPr>
        <w:spacing w:after="0" w:line="360" w:lineRule="auto"/>
        <w:contextualSpacing/>
        <w:jc w:val="both"/>
        <w:rPr>
          <w:rFonts w:ascii="Times New Roman" w:hAnsi="Times New Roman" w:cs="Times New Roman"/>
          <w:sz w:val="24"/>
          <w:szCs w:val="24"/>
        </w:rPr>
      </w:pPr>
      <w:r w:rsidRPr="00D41614">
        <w:rPr>
          <w:rFonts w:ascii="Times New Roman" w:hAnsi="Times New Roman" w:cs="Times New Roman"/>
          <w:sz w:val="24"/>
          <w:szCs w:val="24"/>
        </w:rPr>
        <w:t xml:space="preserve"> </w:t>
      </w:r>
      <w:r w:rsidR="00FD092B" w:rsidRPr="00D41614">
        <w:rPr>
          <w:rFonts w:ascii="Times New Roman" w:hAnsi="Times New Roman" w:cs="Times New Roman"/>
          <w:sz w:val="24"/>
          <w:szCs w:val="24"/>
        </w:rPr>
        <w:t>(</w:t>
      </w:r>
      <w:r w:rsidR="006212B7" w:rsidRPr="00D41614">
        <w:rPr>
          <w:rFonts w:ascii="Times New Roman" w:hAnsi="Times New Roman" w:cs="Times New Roman"/>
          <w:sz w:val="24"/>
          <w:szCs w:val="24"/>
        </w:rPr>
        <w:t xml:space="preserve">Lo studio rielabora </w:t>
      </w:r>
      <w:proofErr w:type="gramStart"/>
      <w:r w:rsidR="006212B7" w:rsidRPr="00D41614">
        <w:rPr>
          <w:rFonts w:ascii="Times New Roman" w:hAnsi="Times New Roman" w:cs="Times New Roman"/>
          <w:sz w:val="24"/>
          <w:szCs w:val="24"/>
        </w:rPr>
        <w:t>ed</w:t>
      </w:r>
      <w:proofErr w:type="gramEnd"/>
      <w:r w:rsidR="006212B7" w:rsidRPr="00D41614">
        <w:rPr>
          <w:rFonts w:ascii="Times New Roman" w:hAnsi="Times New Roman" w:cs="Times New Roman"/>
          <w:sz w:val="24"/>
          <w:szCs w:val="24"/>
        </w:rPr>
        <w:t xml:space="preserve"> approfondisce l’intervento programmato svolto dall’a. nel corso del Seminario sul tema “Riflessioni a margine del potere di ordinanza”, indetto il 18 giugno 2015 presso l’Università degli Studi di Roma Tre, in preparazione</w:t>
      </w:r>
      <w:r w:rsidR="00FD092B" w:rsidRPr="00D41614">
        <w:rPr>
          <w:rFonts w:ascii="Times New Roman" w:hAnsi="Times New Roman" w:cs="Times New Roman"/>
          <w:sz w:val="24"/>
          <w:szCs w:val="24"/>
        </w:rPr>
        <w:t xml:space="preserve"> al Convegno annuale AIPDA 2015)</w:t>
      </w:r>
      <w:r w:rsidR="00C03830" w:rsidRPr="00D41614">
        <w:rPr>
          <w:rFonts w:ascii="Times New Roman" w:hAnsi="Times New Roman" w:cs="Times New Roman"/>
          <w:sz w:val="24"/>
          <w:szCs w:val="24"/>
        </w:rPr>
        <w:t>-</w:t>
      </w:r>
    </w:p>
    <w:p w14:paraId="4876F878" w14:textId="065B7477" w:rsidR="009C19EF" w:rsidRPr="005B0550" w:rsidRDefault="009C19EF" w:rsidP="00E9248E">
      <w:pPr>
        <w:spacing w:after="0" w:line="360" w:lineRule="auto"/>
        <w:contextualSpacing/>
        <w:jc w:val="both"/>
        <w:rPr>
          <w:rFonts w:ascii="Times New Roman" w:hAnsi="Times New Roman" w:cs="Times New Roman"/>
          <w:sz w:val="24"/>
          <w:szCs w:val="24"/>
        </w:rPr>
      </w:pPr>
    </w:p>
    <w:sectPr w:rsidR="009C19EF" w:rsidRPr="005B0550" w:rsidSect="001E0884">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22C8C" w14:textId="77777777" w:rsidR="00CD6AA0" w:rsidRDefault="00CD6AA0" w:rsidP="00AC1A03">
      <w:pPr>
        <w:spacing w:after="0" w:line="240" w:lineRule="auto"/>
      </w:pPr>
      <w:r>
        <w:separator/>
      </w:r>
    </w:p>
  </w:endnote>
  <w:endnote w:type="continuationSeparator" w:id="0">
    <w:p w14:paraId="006D1F0D" w14:textId="77777777" w:rsidR="00CD6AA0" w:rsidRDefault="00CD6AA0" w:rsidP="00AC1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32D77" w14:textId="5FED56D5" w:rsidR="00CD6AA0" w:rsidRPr="006C1FEA" w:rsidRDefault="00CD6AA0" w:rsidP="006C1FEA">
    <w:pPr>
      <w:pStyle w:val="Pidipagina"/>
      <w:tabs>
        <w:tab w:val="left" w:pos="-567"/>
        <w:tab w:val="left" w:pos="567"/>
      </w:tabs>
      <w:ind w:left="-567" w:right="-568"/>
      <w:jc w:val="both"/>
      <w:rPr>
        <w:rFonts w:ascii="Times New Roman" w:hAnsi="Times New Roman" w:cs="Times New Roman"/>
        <w:sz w:val="20"/>
        <w:szCs w:val="20"/>
      </w:rPr>
    </w:pPr>
  </w:p>
  <w:p w14:paraId="2350330E" w14:textId="0FC69E93" w:rsidR="00CD6AA0" w:rsidRDefault="00CD6AA0">
    <w:pPr>
      <w:pStyle w:val="Pidipagina"/>
      <w:jc w:val="right"/>
    </w:pPr>
    <w:sdt>
      <w:sdtPr>
        <w:id w:val="302056207"/>
        <w:docPartObj>
          <w:docPartGallery w:val="Page Numbers (Bottom of Page)"/>
          <w:docPartUnique/>
        </w:docPartObj>
      </w:sdtPr>
      <w:sdtContent>
        <w:r>
          <w:fldChar w:fldCharType="begin"/>
        </w:r>
        <w:r>
          <w:instrText>PAGE   \* MERGEFORMAT</w:instrText>
        </w:r>
        <w:r>
          <w:fldChar w:fldCharType="separate"/>
        </w:r>
        <w:r w:rsidR="00D272B1">
          <w:rPr>
            <w:noProof/>
          </w:rPr>
          <w:t>19</w:t>
        </w:r>
        <w:r>
          <w:fldChar w:fldCharType="end"/>
        </w:r>
      </w:sdtContent>
    </w:sdt>
  </w:p>
  <w:p w14:paraId="56C367A4" w14:textId="77777777" w:rsidR="00CD6AA0" w:rsidRDefault="00CD6AA0">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4267F" w14:textId="53795475" w:rsidR="00CD6AA0" w:rsidRDefault="00CD6AA0" w:rsidP="001E0884">
    <w:pPr>
      <w:pStyle w:val="Pidipagina"/>
      <w:ind w:left="-567" w:right="-56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6E904" w14:textId="77777777" w:rsidR="00CD6AA0" w:rsidRDefault="00CD6AA0" w:rsidP="00AC1A03">
      <w:pPr>
        <w:spacing w:after="0" w:line="240" w:lineRule="auto"/>
      </w:pPr>
      <w:r>
        <w:separator/>
      </w:r>
    </w:p>
  </w:footnote>
  <w:footnote w:type="continuationSeparator" w:id="0">
    <w:p w14:paraId="2746847B" w14:textId="77777777" w:rsidR="00CD6AA0" w:rsidRDefault="00CD6AA0" w:rsidP="00AC1A03">
      <w:pPr>
        <w:spacing w:after="0" w:line="240" w:lineRule="auto"/>
      </w:pPr>
      <w:r>
        <w:continuationSeparator/>
      </w:r>
    </w:p>
  </w:footnote>
  <w:footnote w:id="1">
    <w:p w14:paraId="34DA53C1" w14:textId="04CD8040" w:rsidR="00CD6AA0" w:rsidRPr="006D2B2D" w:rsidRDefault="00CD6AA0" w:rsidP="00FD428D">
      <w:pPr>
        <w:pStyle w:val="Testonotaapidipagina"/>
        <w:spacing w:before="120"/>
        <w:jc w:val="both"/>
      </w:pPr>
      <w:r w:rsidRPr="006D2B2D">
        <w:rPr>
          <w:rStyle w:val="Rimandonotaapidipagina"/>
        </w:rPr>
        <w:footnoteRef/>
      </w:r>
      <w:r w:rsidRPr="006D2B2D">
        <w:t xml:space="preserve"> Sull’incidenza dell’evoluzione tecnologica nell’assetto dei rapporti e degli interessi, cfr., con </w:t>
      </w:r>
      <w:proofErr w:type="gramStart"/>
      <w:r w:rsidRPr="006D2B2D">
        <w:t>modalità</w:t>
      </w:r>
      <w:proofErr w:type="gramEnd"/>
      <w:r w:rsidRPr="006D2B2D">
        <w:t xml:space="preserve"> di approccio differenti, </w:t>
      </w:r>
      <w:r w:rsidRPr="006D2B2D">
        <w:rPr>
          <w:smallCaps/>
        </w:rPr>
        <w:t xml:space="preserve">F. </w:t>
      </w:r>
      <w:proofErr w:type="spellStart"/>
      <w:r w:rsidRPr="006D2B2D">
        <w:rPr>
          <w:smallCaps/>
        </w:rPr>
        <w:t>Merusi</w:t>
      </w:r>
      <w:proofErr w:type="spellEnd"/>
      <w:r w:rsidRPr="006D2B2D">
        <w:t xml:space="preserve">, </w:t>
      </w:r>
      <w:r w:rsidRPr="006D2B2D">
        <w:rPr>
          <w:i/>
          <w:iCs/>
        </w:rPr>
        <w:t>Variazioni tra tecnica e processo</w:t>
      </w:r>
      <w:r w:rsidRPr="006D2B2D">
        <w:t xml:space="preserve">, in </w:t>
      </w:r>
      <w:r w:rsidRPr="006D2B2D">
        <w:rPr>
          <w:i/>
          <w:iCs/>
        </w:rPr>
        <w:t xml:space="preserve">Dir. </w:t>
      </w:r>
      <w:proofErr w:type="spellStart"/>
      <w:proofErr w:type="gramStart"/>
      <w:r w:rsidRPr="006D2B2D">
        <w:rPr>
          <w:i/>
          <w:iCs/>
        </w:rPr>
        <w:t>proc</w:t>
      </w:r>
      <w:proofErr w:type="spellEnd"/>
      <w:r w:rsidRPr="006D2B2D">
        <w:rPr>
          <w:i/>
          <w:iCs/>
        </w:rPr>
        <w:t>.</w:t>
      </w:r>
      <w:proofErr w:type="gramEnd"/>
      <w:r w:rsidRPr="006D2B2D">
        <w:rPr>
          <w:i/>
          <w:iCs/>
        </w:rPr>
        <w:t xml:space="preserve"> </w:t>
      </w:r>
      <w:proofErr w:type="spellStart"/>
      <w:r w:rsidRPr="006D2B2D">
        <w:rPr>
          <w:i/>
          <w:iCs/>
        </w:rPr>
        <w:t>amm</w:t>
      </w:r>
      <w:proofErr w:type="spellEnd"/>
      <w:r w:rsidRPr="006D2B2D">
        <w:rPr>
          <w:i/>
          <w:iCs/>
        </w:rPr>
        <w:t>.</w:t>
      </w:r>
      <w:r w:rsidRPr="006D2B2D">
        <w:t xml:space="preserve">, 2004, 973 ss.; </w:t>
      </w:r>
      <w:r w:rsidRPr="006D2B2D">
        <w:rPr>
          <w:smallCaps/>
        </w:rPr>
        <w:t xml:space="preserve">F. </w:t>
      </w:r>
      <w:proofErr w:type="spellStart"/>
      <w:r w:rsidRPr="006D2B2D">
        <w:rPr>
          <w:smallCaps/>
        </w:rPr>
        <w:t>Cintioli</w:t>
      </w:r>
      <w:proofErr w:type="spellEnd"/>
      <w:r w:rsidRPr="006D2B2D">
        <w:t xml:space="preserve">, </w:t>
      </w:r>
      <w:r w:rsidRPr="006D2B2D">
        <w:rPr>
          <w:i/>
          <w:iCs/>
        </w:rPr>
        <w:t>Giudice amministrativo</w:t>
      </w:r>
      <w:r w:rsidRPr="006D2B2D">
        <w:t xml:space="preserve">, </w:t>
      </w:r>
      <w:r w:rsidRPr="006D2B2D">
        <w:rPr>
          <w:i/>
          <w:iCs/>
        </w:rPr>
        <w:t xml:space="preserve">tecnica e mercato. </w:t>
      </w:r>
      <w:proofErr w:type="gramStart"/>
      <w:r w:rsidRPr="006D2B2D">
        <w:rPr>
          <w:i/>
          <w:iCs/>
        </w:rPr>
        <w:t>Poteri tecnici e «giurisdizionalizzazione</w:t>
      </w:r>
      <w:r w:rsidRPr="006D2B2D">
        <w:t xml:space="preserve">», Milano, 2005; S. </w:t>
      </w:r>
      <w:proofErr w:type="spellStart"/>
      <w:r w:rsidRPr="006D2B2D">
        <w:rPr>
          <w:smallCaps/>
        </w:rPr>
        <w:t>Cassese</w:t>
      </w:r>
      <w:proofErr w:type="spellEnd"/>
      <w:r w:rsidRPr="006D2B2D">
        <w:rPr>
          <w:smallCaps/>
        </w:rPr>
        <w:t xml:space="preserve">, </w:t>
      </w:r>
      <w:r w:rsidRPr="006D2B2D">
        <w:rPr>
          <w:i/>
        </w:rPr>
        <w:t>Il mondo nuovo del diritto</w:t>
      </w:r>
      <w:proofErr w:type="gramEnd"/>
      <w:r w:rsidRPr="006D2B2D">
        <w:rPr>
          <w:i/>
        </w:rPr>
        <w:t xml:space="preserve">. Un giurista e il suo tempo, </w:t>
      </w:r>
      <w:r w:rsidRPr="006D2B2D">
        <w:t xml:space="preserve">Bologna, 2008; e </w:t>
      </w:r>
      <w:r w:rsidRPr="006D2B2D">
        <w:rPr>
          <w:smallCaps/>
        </w:rPr>
        <w:t>S. Rodotà</w:t>
      </w:r>
      <w:r w:rsidRPr="006D2B2D">
        <w:t xml:space="preserve">, </w:t>
      </w:r>
      <w:r w:rsidRPr="006D2B2D">
        <w:rPr>
          <w:i/>
          <w:iCs/>
        </w:rPr>
        <w:t>Tecnologie e diritti</w:t>
      </w:r>
      <w:r w:rsidRPr="006D2B2D">
        <w:t xml:space="preserve">, Bologna, 1995; </w:t>
      </w:r>
      <w:r w:rsidRPr="006D2B2D">
        <w:rPr>
          <w:smallCaps/>
        </w:rPr>
        <w:t xml:space="preserve">N. Irti - </w:t>
      </w:r>
      <w:proofErr w:type="gramStart"/>
      <w:r w:rsidRPr="006D2B2D">
        <w:rPr>
          <w:smallCaps/>
        </w:rPr>
        <w:t>E.</w:t>
      </w:r>
      <w:proofErr w:type="gramEnd"/>
      <w:r w:rsidRPr="006D2B2D">
        <w:rPr>
          <w:smallCaps/>
        </w:rPr>
        <w:t xml:space="preserve"> Severino</w:t>
      </w:r>
      <w:r w:rsidRPr="006D2B2D">
        <w:t xml:space="preserve">, </w:t>
      </w:r>
      <w:r w:rsidRPr="006D2B2D">
        <w:rPr>
          <w:i/>
          <w:iCs/>
        </w:rPr>
        <w:t>Dialogo su diritto e tecnica</w:t>
      </w:r>
      <w:r w:rsidRPr="006D2B2D">
        <w:t>, Roma-Bari, 2001;</w:t>
      </w:r>
      <w:r w:rsidRPr="006D2B2D">
        <w:rPr>
          <w:smallCaps/>
        </w:rPr>
        <w:t xml:space="preserve"> E. Severino, </w:t>
      </w:r>
      <w:proofErr w:type="spellStart"/>
      <w:r w:rsidRPr="006D2B2D">
        <w:t>Techne-Nomos</w:t>
      </w:r>
      <w:proofErr w:type="spellEnd"/>
      <w:r w:rsidRPr="006D2B2D">
        <w:rPr>
          <w:i/>
          <w:iCs/>
        </w:rPr>
        <w:t>: l’inevitabile subordinazione del diritto alla tecnica</w:t>
      </w:r>
      <w:r w:rsidRPr="006D2B2D">
        <w:t xml:space="preserve">, in </w:t>
      </w:r>
      <w:r w:rsidRPr="006D2B2D">
        <w:rPr>
          <w:smallCaps/>
        </w:rPr>
        <w:t>P. Barcellona</w:t>
      </w:r>
      <w:r w:rsidRPr="006D2B2D">
        <w:t xml:space="preserve"> (a cura di), </w:t>
      </w:r>
      <w:r w:rsidRPr="006D2B2D">
        <w:rPr>
          <w:i/>
          <w:iCs/>
        </w:rPr>
        <w:t>Nuove frontiere del diritto. Dialoghi su giustizia e verità</w:t>
      </w:r>
      <w:r w:rsidRPr="006D2B2D">
        <w:t xml:space="preserve">, Bari, 2001, 15 </w:t>
      </w:r>
      <w:proofErr w:type="gramStart"/>
      <w:r w:rsidRPr="006D2B2D">
        <w:t>ss.</w:t>
      </w:r>
      <w:proofErr w:type="gramEnd"/>
      <w:r w:rsidRPr="006D2B2D">
        <w:t>;</w:t>
      </w:r>
      <w:r w:rsidRPr="006D2B2D">
        <w:rPr>
          <w:smallCaps/>
        </w:rPr>
        <w:t xml:space="preserve"> N. Irti</w:t>
      </w:r>
      <w:r w:rsidRPr="006D2B2D">
        <w:t xml:space="preserve">, </w:t>
      </w:r>
      <w:r w:rsidRPr="006D2B2D">
        <w:rPr>
          <w:i/>
          <w:iCs/>
        </w:rPr>
        <w:t>Il diritto nell’età della tecnica</w:t>
      </w:r>
      <w:r w:rsidRPr="006D2B2D">
        <w:t>, Napoli, 2007.</w:t>
      </w:r>
    </w:p>
  </w:footnote>
  <w:footnote w:id="2">
    <w:p w14:paraId="36CBEE27" w14:textId="3591FEF9" w:rsidR="00CD6AA0" w:rsidRPr="006D2B2D" w:rsidRDefault="00CD6AA0" w:rsidP="00FE492D">
      <w:pPr>
        <w:pStyle w:val="Testonotaapidipagina"/>
        <w:spacing w:before="120"/>
        <w:jc w:val="both"/>
      </w:pPr>
      <w:r w:rsidRPr="006D2B2D">
        <w:rPr>
          <w:rStyle w:val="Rimandonotaapidipagina"/>
        </w:rPr>
        <w:footnoteRef/>
      </w:r>
      <w:r w:rsidRPr="006D2B2D">
        <w:t xml:space="preserve"> </w:t>
      </w:r>
      <w:r w:rsidRPr="006D2B2D">
        <w:rPr>
          <w:smallCaps/>
        </w:rPr>
        <w:t>R. Cavallo Perin</w:t>
      </w:r>
      <w:r w:rsidRPr="006D2B2D">
        <w:t>,</w:t>
      </w:r>
      <w:r w:rsidRPr="006D2B2D">
        <w:rPr>
          <w:color w:val="000000" w:themeColor="text1"/>
        </w:rPr>
        <w:t xml:space="preserve"> </w:t>
      </w:r>
      <w:hyperlink r:id="rId1" w:history="1">
        <w:r w:rsidRPr="006D2B2D">
          <w:rPr>
            <w:rStyle w:val="Collegamentoipertestuale"/>
            <w:i/>
            <w:iCs/>
            <w:color w:val="000000" w:themeColor="text1"/>
            <w:u w:val="none"/>
          </w:rPr>
          <w:t>Il diritto amministrativo dell’emergenza per fattori esterni all’amministrazione pubblica</w:t>
        </w:r>
      </w:hyperlink>
      <w:r w:rsidRPr="006D2B2D">
        <w:rPr>
          <w:i/>
          <w:iCs/>
          <w:color w:val="000000" w:themeColor="text1"/>
        </w:rPr>
        <w:t>,</w:t>
      </w:r>
      <w:r w:rsidRPr="006D2B2D">
        <w:rPr>
          <w:color w:val="000000" w:themeColor="text1"/>
        </w:rPr>
        <w:t xml:space="preserve"> in </w:t>
      </w:r>
      <w:hyperlink r:id="rId2" w:history="1">
        <w:r w:rsidRPr="006D2B2D">
          <w:rPr>
            <w:rStyle w:val="Collegamentoipertestuale"/>
            <w:i/>
            <w:iCs/>
            <w:color w:val="000000" w:themeColor="text1"/>
            <w:u w:val="none"/>
          </w:rPr>
          <w:t xml:space="preserve">Dir. </w:t>
        </w:r>
        <w:proofErr w:type="spellStart"/>
        <w:r w:rsidRPr="006D2B2D">
          <w:rPr>
            <w:rStyle w:val="Collegamentoipertestuale"/>
            <w:i/>
            <w:iCs/>
            <w:color w:val="000000" w:themeColor="text1"/>
            <w:u w:val="none"/>
          </w:rPr>
          <w:t>amm</w:t>
        </w:r>
        <w:proofErr w:type="spellEnd"/>
        <w:r w:rsidRPr="006D2B2D">
          <w:rPr>
            <w:rStyle w:val="Collegamentoipertestuale"/>
            <w:i/>
            <w:iCs/>
            <w:color w:val="000000" w:themeColor="text1"/>
            <w:u w:val="none"/>
          </w:rPr>
          <w:t>.</w:t>
        </w:r>
      </w:hyperlink>
      <w:r w:rsidRPr="006D2B2D">
        <w:rPr>
          <w:i/>
          <w:iCs/>
          <w:color w:val="000000" w:themeColor="text1"/>
        </w:rPr>
        <w:t>,</w:t>
      </w:r>
      <w:r w:rsidRPr="006D2B2D">
        <w:rPr>
          <w:color w:val="000000" w:themeColor="text1"/>
        </w:rPr>
        <w:t xml:space="preserve"> 2005, 777 ss., nonché </w:t>
      </w:r>
      <w:r w:rsidRPr="006D2B2D">
        <w:rPr>
          <w:smallCaps/>
          <w:color w:val="000000" w:themeColor="text1"/>
        </w:rPr>
        <w:t xml:space="preserve">Id., </w:t>
      </w:r>
      <w:hyperlink r:id="rId3" w:history="1">
        <w:r w:rsidRPr="006D2B2D">
          <w:rPr>
            <w:rStyle w:val="Collegamentoipertestuale"/>
            <w:i/>
            <w:iCs/>
            <w:color w:val="000000" w:themeColor="text1"/>
            <w:u w:val="none"/>
          </w:rPr>
          <w:t>Il diritto amministrativo dell’emergenza</w:t>
        </w:r>
      </w:hyperlink>
      <w:r w:rsidRPr="006D2B2D">
        <w:rPr>
          <w:iCs/>
          <w:color w:val="000000" w:themeColor="text1"/>
        </w:rPr>
        <w:t xml:space="preserve">, in </w:t>
      </w:r>
      <w:r w:rsidRPr="006D2B2D">
        <w:rPr>
          <w:i/>
          <w:iCs/>
          <w:color w:val="000000" w:themeColor="text1"/>
        </w:rPr>
        <w:t>Annuario AIPDA</w:t>
      </w:r>
      <w:r w:rsidRPr="006D2B2D">
        <w:rPr>
          <w:iCs/>
          <w:color w:val="000000" w:themeColor="text1"/>
        </w:rPr>
        <w:t>,</w:t>
      </w:r>
      <w:r w:rsidRPr="006D2B2D">
        <w:rPr>
          <w:color w:val="000000" w:themeColor="text1"/>
        </w:rPr>
        <w:t xml:space="preserve"> </w:t>
      </w:r>
      <w:r w:rsidRPr="006D2B2D">
        <w:t>Milano, 2006, 31 ss.</w:t>
      </w:r>
    </w:p>
  </w:footnote>
  <w:footnote w:id="3">
    <w:p w14:paraId="487C1C3E" w14:textId="5F9748A4" w:rsidR="00CD6AA0" w:rsidRPr="006D2B2D" w:rsidRDefault="00CD6AA0" w:rsidP="00FE492D">
      <w:pPr>
        <w:pStyle w:val="Testonotaapidipagina"/>
        <w:spacing w:before="120"/>
        <w:jc w:val="both"/>
      </w:pPr>
      <w:r w:rsidRPr="006D2B2D">
        <w:rPr>
          <w:rStyle w:val="Rimandonotaapidipagina"/>
        </w:rPr>
        <w:footnoteRef/>
      </w:r>
      <w:r w:rsidRPr="006D2B2D">
        <w:t xml:space="preserve"> </w:t>
      </w:r>
      <w:proofErr w:type="gramStart"/>
      <w:r w:rsidRPr="006D2B2D">
        <w:rPr>
          <w:smallCaps/>
        </w:rPr>
        <w:t>M.P.</w:t>
      </w:r>
      <w:proofErr w:type="gramEnd"/>
      <w:r w:rsidRPr="006D2B2D">
        <w:rPr>
          <w:smallCaps/>
        </w:rPr>
        <w:t xml:space="preserve"> Chiti</w:t>
      </w:r>
      <w:r w:rsidRPr="006D2B2D">
        <w:t xml:space="preserve">, </w:t>
      </w:r>
      <w:r w:rsidRPr="006D2B2D">
        <w:rPr>
          <w:i/>
        </w:rPr>
        <w:t xml:space="preserve">Il rischio sanitario e l’evoluzione dall’amministrazione dell’emergenza all’amministrazione precauzionale, </w:t>
      </w:r>
      <w:r w:rsidRPr="006D2B2D">
        <w:t xml:space="preserve">in </w:t>
      </w:r>
      <w:proofErr w:type="spellStart"/>
      <w:r w:rsidRPr="006D2B2D">
        <w:rPr>
          <w:i/>
        </w:rPr>
        <w:t>Riv</w:t>
      </w:r>
      <w:proofErr w:type="spellEnd"/>
      <w:r w:rsidRPr="006D2B2D">
        <w:rPr>
          <w:i/>
        </w:rPr>
        <w:t xml:space="preserve">. </w:t>
      </w:r>
      <w:proofErr w:type="spellStart"/>
      <w:r w:rsidRPr="006D2B2D">
        <w:rPr>
          <w:i/>
        </w:rPr>
        <w:t>it</w:t>
      </w:r>
      <w:proofErr w:type="spellEnd"/>
      <w:r w:rsidRPr="006D2B2D">
        <w:rPr>
          <w:i/>
        </w:rPr>
        <w:t xml:space="preserve">. dir. </w:t>
      </w:r>
      <w:proofErr w:type="spellStart"/>
      <w:proofErr w:type="gramStart"/>
      <w:r w:rsidRPr="006D2B2D">
        <w:rPr>
          <w:i/>
        </w:rPr>
        <w:t>pubbl</w:t>
      </w:r>
      <w:proofErr w:type="spellEnd"/>
      <w:r w:rsidRPr="006D2B2D">
        <w:rPr>
          <w:i/>
        </w:rPr>
        <w:t>.</w:t>
      </w:r>
      <w:proofErr w:type="gramEnd"/>
      <w:r w:rsidRPr="006D2B2D">
        <w:rPr>
          <w:i/>
        </w:rPr>
        <w:t xml:space="preserve"> </w:t>
      </w:r>
      <w:proofErr w:type="spellStart"/>
      <w:r w:rsidRPr="006D2B2D">
        <w:rPr>
          <w:i/>
        </w:rPr>
        <w:t>com</w:t>
      </w:r>
      <w:proofErr w:type="spellEnd"/>
      <w:r w:rsidRPr="006D2B2D">
        <w:rPr>
          <w:i/>
        </w:rPr>
        <w:t xml:space="preserve">., </w:t>
      </w:r>
      <w:r w:rsidRPr="006D2B2D">
        <w:t xml:space="preserve">2006, 1 ss. Sulla distinzione tra “prevenzione” e “precauzione” cfr. A. </w:t>
      </w:r>
      <w:proofErr w:type="spellStart"/>
      <w:r w:rsidRPr="006D2B2D">
        <w:rPr>
          <w:smallCaps/>
        </w:rPr>
        <w:t>Crosetti</w:t>
      </w:r>
      <w:proofErr w:type="spellEnd"/>
      <w:r w:rsidRPr="006D2B2D">
        <w:rPr>
          <w:smallCaps/>
        </w:rPr>
        <w:t xml:space="preserve">, </w:t>
      </w:r>
      <w:r w:rsidRPr="006D2B2D">
        <w:rPr>
          <w:i/>
        </w:rPr>
        <w:t>La normativa antisismica quale strumento preventivo dell’incolumità pubblica</w:t>
      </w:r>
      <w:r w:rsidRPr="006D2B2D">
        <w:t xml:space="preserve">, in </w:t>
      </w:r>
      <w:proofErr w:type="spellStart"/>
      <w:proofErr w:type="gramStart"/>
      <w:r w:rsidRPr="006D2B2D">
        <w:rPr>
          <w:i/>
        </w:rPr>
        <w:t>Riv</w:t>
      </w:r>
      <w:proofErr w:type="spellEnd"/>
      <w:r w:rsidRPr="006D2B2D">
        <w:rPr>
          <w:i/>
        </w:rPr>
        <w:t>.</w:t>
      </w:r>
      <w:proofErr w:type="gramEnd"/>
      <w:r w:rsidRPr="006D2B2D">
        <w:rPr>
          <w:i/>
        </w:rPr>
        <w:t xml:space="preserve"> giur. </w:t>
      </w:r>
      <w:proofErr w:type="spellStart"/>
      <w:r w:rsidRPr="006D2B2D">
        <w:rPr>
          <w:i/>
        </w:rPr>
        <w:t>edil</w:t>
      </w:r>
      <w:proofErr w:type="spellEnd"/>
      <w:r w:rsidRPr="006D2B2D">
        <w:rPr>
          <w:i/>
        </w:rPr>
        <w:t>.</w:t>
      </w:r>
      <w:r w:rsidRPr="006D2B2D">
        <w:t>, 2011, 261 ss.</w:t>
      </w:r>
    </w:p>
  </w:footnote>
  <w:footnote w:id="4">
    <w:p w14:paraId="132A6668" w14:textId="21B7DAA7" w:rsidR="00CD6AA0" w:rsidRPr="006D2B2D" w:rsidRDefault="00CD6AA0" w:rsidP="00FE492D">
      <w:pPr>
        <w:pStyle w:val="Testonotaapidipagina"/>
        <w:spacing w:before="120"/>
        <w:jc w:val="both"/>
      </w:pPr>
      <w:r w:rsidRPr="006D2B2D">
        <w:rPr>
          <w:rStyle w:val="Rimandonotaapidipagina"/>
        </w:rPr>
        <w:footnoteRef/>
      </w:r>
      <w:r w:rsidRPr="006D2B2D">
        <w:t xml:space="preserve"> Sul principio di precauzione si veda il lavoro monografico di </w:t>
      </w:r>
      <w:r w:rsidRPr="006D2B2D">
        <w:rPr>
          <w:smallCaps/>
        </w:rPr>
        <w:t>F</w:t>
      </w:r>
      <w:r w:rsidRPr="006D2B2D">
        <w:t xml:space="preserve">. </w:t>
      </w:r>
      <w:r w:rsidRPr="006D2B2D">
        <w:rPr>
          <w:smallCaps/>
        </w:rPr>
        <w:t xml:space="preserve">De Leonardis, </w:t>
      </w:r>
      <w:r w:rsidRPr="006D2B2D">
        <w:rPr>
          <w:i/>
        </w:rPr>
        <w:t xml:space="preserve">Il principio di precauzione nell’amministrazione di rischio, </w:t>
      </w:r>
      <w:r w:rsidRPr="006D2B2D">
        <w:t>Milano</w:t>
      </w:r>
      <w:r w:rsidRPr="006D2B2D">
        <w:rPr>
          <w:smallCaps/>
        </w:rPr>
        <w:t xml:space="preserve">, 2005, </w:t>
      </w:r>
      <w:r w:rsidRPr="006D2B2D">
        <w:t xml:space="preserve">nel quale l’A., dopo aver ricostruito le origini del principio nell’ambito della materia ambientale, ne ripercorre l’evoluzione nella giurisprudenza comunitaria per poi approfondirlo nell’ordinamento amministrativo multilivello, anche </w:t>
      </w:r>
      <w:proofErr w:type="gramStart"/>
      <w:r w:rsidRPr="006D2B2D">
        <w:t>in relazione ai</w:t>
      </w:r>
      <w:proofErr w:type="gramEnd"/>
      <w:r w:rsidRPr="006D2B2D">
        <w:t xml:space="preserve"> profili organizzativi della c.d. “amministrazione di rischio”. </w:t>
      </w:r>
    </w:p>
    <w:p w14:paraId="5C545AB3" w14:textId="58E32A42" w:rsidR="00CD6AA0" w:rsidRPr="006D2B2D" w:rsidRDefault="00CD6AA0" w:rsidP="00FE492D">
      <w:pPr>
        <w:pStyle w:val="Testonotaapidipagina"/>
        <w:spacing w:before="120"/>
        <w:jc w:val="both"/>
      </w:pPr>
      <w:r w:rsidRPr="006D2B2D">
        <w:t xml:space="preserve">La bibliografia sul tema è, peraltro assai vasta: si </w:t>
      </w:r>
      <w:proofErr w:type="gramStart"/>
      <w:r w:rsidRPr="006D2B2D">
        <w:t>vedano</w:t>
      </w:r>
      <w:proofErr w:type="gramEnd"/>
      <w:r w:rsidRPr="006D2B2D">
        <w:t xml:space="preserve">, altresì, </w:t>
      </w:r>
      <w:r w:rsidRPr="006D2B2D">
        <w:rPr>
          <w:smallCaps/>
        </w:rPr>
        <w:t xml:space="preserve">F. </w:t>
      </w:r>
      <w:proofErr w:type="spellStart"/>
      <w:r w:rsidRPr="006D2B2D">
        <w:rPr>
          <w:smallCaps/>
        </w:rPr>
        <w:t>Merusi</w:t>
      </w:r>
      <w:proofErr w:type="spellEnd"/>
      <w:r w:rsidRPr="006D2B2D">
        <w:t xml:space="preserve">, </w:t>
      </w:r>
      <w:r w:rsidRPr="006D2B2D">
        <w:rPr>
          <w:i/>
        </w:rPr>
        <w:t>Dal fatto incerto alla precauzione: la legge sull’elettrosmog</w:t>
      </w:r>
      <w:r w:rsidRPr="006D2B2D">
        <w:t xml:space="preserve">, in </w:t>
      </w:r>
      <w:r w:rsidRPr="006D2B2D">
        <w:rPr>
          <w:i/>
        </w:rPr>
        <w:t xml:space="preserve">Foro </w:t>
      </w:r>
      <w:proofErr w:type="spellStart"/>
      <w:r w:rsidRPr="006D2B2D">
        <w:rPr>
          <w:i/>
        </w:rPr>
        <w:t>amm</w:t>
      </w:r>
      <w:proofErr w:type="spellEnd"/>
      <w:r w:rsidRPr="006D2B2D">
        <w:rPr>
          <w:i/>
        </w:rPr>
        <w:t>.</w:t>
      </w:r>
      <w:r w:rsidRPr="006D2B2D">
        <w:t>, 2001, 221;</w:t>
      </w:r>
      <w:r w:rsidRPr="006D2B2D">
        <w:rPr>
          <w:iCs/>
          <w:smallCaps/>
        </w:rPr>
        <w:t xml:space="preserve"> </w:t>
      </w:r>
      <w:r w:rsidRPr="006D2B2D">
        <w:t xml:space="preserve">F. </w:t>
      </w:r>
      <w:proofErr w:type="spellStart"/>
      <w:r w:rsidRPr="006D2B2D">
        <w:rPr>
          <w:smallCaps/>
        </w:rPr>
        <w:t>Trimarchi</w:t>
      </w:r>
      <w:proofErr w:type="spellEnd"/>
      <w:r w:rsidRPr="006D2B2D">
        <w:rPr>
          <w:smallCaps/>
        </w:rPr>
        <w:t xml:space="preserve">, </w:t>
      </w:r>
      <w:r w:rsidRPr="006D2B2D">
        <w:rPr>
          <w:i/>
        </w:rPr>
        <w:t>Principio di precauzione e qualità dell’azione amministrativa</w:t>
      </w:r>
      <w:r w:rsidRPr="006D2B2D">
        <w:t xml:space="preserve">, in </w:t>
      </w:r>
      <w:proofErr w:type="spellStart"/>
      <w:r w:rsidRPr="006D2B2D">
        <w:rPr>
          <w:i/>
        </w:rPr>
        <w:t>Riv</w:t>
      </w:r>
      <w:proofErr w:type="spellEnd"/>
      <w:r w:rsidRPr="006D2B2D">
        <w:rPr>
          <w:i/>
        </w:rPr>
        <w:t xml:space="preserve">. </w:t>
      </w:r>
      <w:proofErr w:type="spellStart"/>
      <w:r w:rsidRPr="006D2B2D">
        <w:rPr>
          <w:i/>
        </w:rPr>
        <w:t>it</w:t>
      </w:r>
      <w:proofErr w:type="spellEnd"/>
      <w:r w:rsidRPr="006D2B2D">
        <w:rPr>
          <w:i/>
        </w:rPr>
        <w:t xml:space="preserve">. dir. </w:t>
      </w:r>
      <w:proofErr w:type="spellStart"/>
      <w:proofErr w:type="gramStart"/>
      <w:r w:rsidRPr="006D2B2D">
        <w:rPr>
          <w:i/>
        </w:rPr>
        <w:t>pubbl</w:t>
      </w:r>
      <w:proofErr w:type="spellEnd"/>
      <w:r w:rsidRPr="006D2B2D">
        <w:rPr>
          <w:i/>
        </w:rPr>
        <w:t>.</w:t>
      </w:r>
      <w:proofErr w:type="gramEnd"/>
      <w:r w:rsidRPr="006D2B2D">
        <w:rPr>
          <w:i/>
        </w:rPr>
        <w:t xml:space="preserve"> </w:t>
      </w:r>
      <w:proofErr w:type="spellStart"/>
      <w:r w:rsidRPr="006D2B2D">
        <w:rPr>
          <w:i/>
        </w:rPr>
        <w:t>com</w:t>
      </w:r>
      <w:proofErr w:type="spellEnd"/>
      <w:r w:rsidRPr="006D2B2D">
        <w:rPr>
          <w:i/>
        </w:rPr>
        <w:t>.</w:t>
      </w:r>
      <w:r w:rsidRPr="006D2B2D">
        <w:t xml:space="preserve">, 2005, 1673 ss.; </w:t>
      </w:r>
      <w:r w:rsidRPr="006D2B2D">
        <w:rPr>
          <w:iCs/>
          <w:smallCaps/>
        </w:rPr>
        <w:t>R. Ferrara</w:t>
      </w:r>
      <w:r w:rsidRPr="006D2B2D">
        <w:rPr>
          <w:i/>
          <w:iCs/>
        </w:rPr>
        <w:t xml:space="preserve">, La protezione dell’ambiente e il procedimento amministrativo nella "società del rischio", </w:t>
      </w:r>
      <w:r w:rsidRPr="006D2B2D">
        <w:rPr>
          <w:iCs/>
        </w:rPr>
        <w:t>in</w:t>
      </w:r>
      <w:r w:rsidRPr="006D2B2D">
        <w:rPr>
          <w:i/>
          <w:iCs/>
        </w:rPr>
        <w:t xml:space="preserve"> Dir. </w:t>
      </w:r>
      <w:proofErr w:type="gramStart"/>
      <w:r w:rsidRPr="006D2B2D">
        <w:rPr>
          <w:i/>
          <w:iCs/>
        </w:rPr>
        <w:t>e</w:t>
      </w:r>
      <w:proofErr w:type="gramEnd"/>
      <w:r w:rsidRPr="006D2B2D">
        <w:rPr>
          <w:i/>
          <w:iCs/>
        </w:rPr>
        <w:t xml:space="preserve"> </w:t>
      </w:r>
      <w:proofErr w:type="spellStart"/>
      <w:r w:rsidRPr="006D2B2D">
        <w:rPr>
          <w:i/>
          <w:iCs/>
        </w:rPr>
        <w:t>soc</w:t>
      </w:r>
      <w:proofErr w:type="spellEnd"/>
      <w:r w:rsidRPr="006D2B2D">
        <w:rPr>
          <w:i/>
          <w:iCs/>
        </w:rPr>
        <w:t xml:space="preserve">., </w:t>
      </w:r>
      <w:r w:rsidRPr="006D2B2D">
        <w:rPr>
          <w:iCs/>
        </w:rPr>
        <w:t xml:space="preserve">2006, 507 ss.; </w:t>
      </w:r>
      <w:r w:rsidRPr="006D2B2D">
        <w:rPr>
          <w:iCs/>
          <w:smallCaps/>
        </w:rPr>
        <w:t xml:space="preserve">Id. </w:t>
      </w:r>
      <w:r w:rsidRPr="006D2B2D">
        <w:rPr>
          <w:i/>
          <w:iCs/>
        </w:rPr>
        <w:t>Precauzione e prevenzione nella pianificazione del territorio: la “precauzione inutile”?</w:t>
      </w:r>
      <w:r w:rsidRPr="006D2B2D">
        <w:rPr>
          <w:iCs/>
        </w:rPr>
        <w:t xml:space="preserve"> </w:t>
      </w:r>
      <w:proofErr w:type="gramStart"/>
      <w:r w:rsidRPr="006D2B2D">
        <w:rPr>
          <w:iCs/>
        </w:rPr>
        <w:t>in</w:t>
      </w:r>
      <w:proofErr w:type="gramEnd"/>
      <w:r w:rsidRPr="006D2B2D">
        <w:rPr>
          <w:iCs/>
        </w:rPr>
        <w:t xml:space="preserve"> </w:t>
      </w:r>
      <w:proofErr w:type="spellStart"/>
      <w:r w:rsidRPr="006D2B2D">
        <w:rPr>
          <w:i/>
          <w:iCs/>
        </w:rPr>
        <w:t>Riv</w:t>
      </w:r>
      <w:proofErr w:type="spellEnd"/>
      <w:r w:rsidRPr="006D2B2D">
        <w:rPr>
          <w:i/>
          <w:iCs/>
        </w:rPr>
        <w:t xml:space="preserve">. giur. </w:t>
      </w:r>
      <w:proofErr w:type="spellStart"/>
      <w:r w:rsidRPr="006D2B2D">
        <w:rPr>
          <w:i/>
          <w:iCs/>
        </w:rPr>
        <w:t>edil</w:t>
      </w:r>
      <w:proofErr w:type="spellEnd"/>
      <w:r w:rsidRPr="006D2B2D">
        <w:rPr>
          <w:i/>
          <w:iCs/>
        </w:rPr>
        <w:t>.</w:t>
      </w:r>
      <w:r w:rsidRPr="006D2B2D">
        <w:rPr>
          <w:iCs/>
        </w:rPr>
        <w:t xml:space="preserve">, 2012, 61; </w:t>
      </w:r>
      <w:r w:rsidRPr="006D2B2D">
        <w:rPr>
          <w:smallCaps/>
        </w:rPr>
        <w:t>A. Barone,</w:t>
      </w:r>
      <w:r w:rsidRPr="006D2B2D">
        <w:t xml:space="preserve"> </w:t>
      </w:r>
      <w:r w:rsidRPr="006D2B2D">
        <w:rPr>
          <w:i/>
        </w:rPr>
        <w:t xml:space="preserve">Il diritto del rischio, </w:t>
      </w:r>
      <w:r w:rsidRPr="006D2B2D">
        <w:t>Milano, 2006</w:t>
      </w:r>
      <w:r w:rsidRPr="006D2B2D">
        <w:rPr>
          <w:smallCaps/>
        </w:rPr>
        <w:t>;</w:t>
      </w:r>
      <w:r w:rsidRPr="006D2B2D">
        <w:t xml:space="preserve"> M.L. </w:t>
      </w:r>
      <w:proofErr w:type="spellStart"/>
      <w:r w:rsidRPr="006D2B2D">
        <w:rPr>
          <w:smallCaps/>
        </w:rPr>
        <w:t>Antoniol</w:t>
      </w:r>
      <w:r>
        <w:rPr>
          <w:smallCaps/>
        </w:rPr>
        <w:t>i</w:t>
      </w:r>
      <w:proofErr w:type="spellEnd"/>
      <w:r w:rsidRPr="006D2B2D">
        <w:rPr>
          <w:smallCaps/>
        </w:rPr>
        <w:t xml:space="preserve">, </w:t>
      </w:r>
      <w:r w:rsidRPr="006D2B2D">
        <w:rPr>
          <w:i/>
        </w:rPr>
        <w:t>Precauzionalità, gestione del rischio e attività amministrativa</w:t>
      </w:r>
      <w:r w:rsidRPr="006D2B2D">
        <w:t xml:space="preserve">, in </w:t>
      </w:r>
      <w:proofErr w:type="spellStart"/>
      <w:r w:rsidRPr="006D2B2D">
        <w:rPr>
          <w:i/>
        </w:rPr>
        <w:t>Riv</w:t>
      </w:r>
      <w:proofErr w:type="spellEnd"/>
      <w:r w:rsidRPr="006D2B2D">
        <w:rPr>
          <w:i/>
        </w:rPr>
        <w:t xml:space="preserve">. </w:t>
      </w:r>
      <w:proofErr w:type="spellStart"/>
      <w:r w:rsidRPr="006D2B2D">
        <w:rPr>
          <w:i/>
        </w:rPr>
        <w:t>it</w:t>
      </w:r>
      <w:proofErr w:type="spellEnd"/>
      <w:r w:rsidRPr="006D2B2D">
        <w:rPr>
          <w:i/>
        </w:rPr>
        <w:t xml:space="preserve">. dir. </w:t>
      </w:r>
      <w:proofErr w:type="spellStart"/>
      <w:proofErr w:type="gramStart"/>
      <w:r w:rsidRPr="006D2B2D">
        <w:rPr>
          <w:i/>
        </w:rPr>
        <w:t>pubbl</w:t>
      </w:r>
      <w:proofErr w:type="spellEnd"/>
      <w:r w:rsidRPr="006D2B2D">
        <w:rPr>
          <w:i/>
        </w:rPr>
        <w:t>.</w:t>
      </w:r>
      <w:proofErr w:type="gramEnd"/>
      <w:r w:rsidRPr="006D2B2D">
        <w:rPr>
          <w:i/>
        </w:rPr>
        <w:t xml:space="preserve"> </w:t>
      </w:r>
      <w:proofErr w:type="spellStart"/>
      <w:r w:rsidRPr="006D2B2D">
        <w:rPr>
          <w:i/>
        </w:rPr>
        <w:t>com</w:t>
      </w:r>
      <w:proofErr w:type="spellEnd"/>
      <w:r w:rsidRPr="006D2B2D">
        <w:rPr>
          <w:i/>
        </w:rPr>
        <w:t>.</w:t>
      </w:r>
      <w:r w:rsidRPr="006D2B2D">
        <w:t xml:space="preserve">, 2007, 52 ss.; A. </w:t>
      </w:r>
      <w:proofErr w:type="spellStart"/>
      <w:r w:rsidRPr="006D2B2D">
        <w:rPr>
          <w:smallCaps/>
        </w:rPr>
        <w:t>Zei</w:t>
      </w:r>
      <w:proofErr w:type="spellEnd"/>
      <w:r w:rsidRPr="006D2B2D">
        <w:t xml:space="preserve">, voce </w:t>
      </w:r>
      <w:r w:rsidRPr="006D2B2D">
        <w:rPr>
          <w:i/>
        </w:rPr>
        <w:t>Principio di precauzione</w:t>
      </w:r>
      <w:r w:rsidRPr="006D2B2D">
        <w:t xml:space="preserve">, in </w:t>
      </w:r>
      <w:r w:rsidRPr="006D2B2D">
        <w:rPr>
          <w:i/>
        </w:rPr>
        <w:t xml:space="preserve">Digesto disc. </w:t>
      </w:r>
      <w:proofErr w:type="spellStart"/>
      <w:proofErr w:type="gramStart"/>
      <w:r w:rsidRPr="006D2B2D">
        <w:rPr>
          <w:i/>
        </w:rPr>
        <w:t>pubbl</w:t>
      </w:r>
      <w:proofErr w:type="spellEnd"/>
      <w:proofErr w:type="gramEnd"/>
      <w:r w:rsidRPr="006D2B2D">
        <w:rPr>
          <w:i/>
        </w:rPr>
        <w:t>.</w:t>
      </w:r>
      <w:r w:rsidRPr="006D2B2D">
        <w:t xml:space="preserve">, Aggiornamento III, Torino, 2008, 670 ss.; </w:t>
      </w:r>
      <w:r w:rsidRPr="006D2B2D">
        <w:rPr>
          <w:smallCaps/>
        </w:rPr>
        <w:t>B. Marchetti</w:t>
      </w:r>
      <w:r w:rsidRPr="006D2B2D">
        <w:t xml:space="preserve">, </w:t>
      </w:r>
      <w:r w:rsidRPr="006D2B2D">
        <w:rPr>
          <w:i/>
        </w:rPr>
        <w:t>Il principio di precauzione</w:t>
      </w:r>
      <w:r w:rsidRPr="006D2B2D">
        <w:t xml:space="preserve">, in M.A. </w:t>
      </w:r>
      <w:proofErr w:type="spellStart"/>
      <w:r w:rsidRPr="006D2B2D">
        <w:rPr>
          <w:smallCaps/>
        </w:rPr>
        <w:t>Sandulli</w:t>
      </w:r>
      <w:proofErr w:type="spellEnd"/>
      <w:r w:rsidRPr="006D2B2D">
        <w:rPr>
          <w:smallCaps/>
        </w:rPr>
        <w:t xml:space="preserve"> (</w:t>
      </w:r>
      <w:r w:rsidRPr="006D2B2D">
        <w:t xml:space="preserve">a cura di), </w:t>
      </w:r>
      <w:r w:rsidRPr="006D2B2D">
        <w:rPr>
          <w:i/>
        </w:rPr>
        <w:t xml:space="preserve">Codice dell’azione </w:t>
      </w:r>
      <w:r w:rsidRPr="006D2B2D">
        <w:t xml:space="preserve">amministrativa, Milano, 2011, 149 ss.; I.M. </w:t>
      </w:r>
      <w:r w:rsidRPr="006D2B2D">
        <w:rPr>
          <w:smallCaps/>
        </w:rPr>
        <w:t xml:space="preserve">Marino, </w:t>
      </w:r>
      <w:r w:rsidRPr="006D2B2D">
        <w:rPr>
          <w:i/>
        </w:rPr>
        <w:t>Aspetti propedeutici del principio di precauzione</w:t>
      </w:r>
      <w:r w:rsidRPr="006D2B2D">
        <w:t xml:space="preserve">, in </w:t>
      </w:r>
      <w:r w:rsidRPr="006D2B2D">
        <w:rPr>
          <w:i/>
        </w:rPr>
        <w:t xml:space="preserve">Studi in onore di Alberto Romano, </w:t>
      </w:r>
      <w:r w:rsidRPr="006D2B2D">
        <w:t xml:space="preserve">vol. III, Napoli, 2011, 2177 ss.; G. </w:t>
      </w:r>
      <w:proofErr w:type="spellStart"/>
      <w:r w:rsidRPr="006D2B2D">
        <w:rPr>
          <w:smallCaps/>
        </w:rPr>
        <w:t>Mastrodonato</w:t>
      </w:r>
      <w:proofErr w:type="spellEnd"/>
      <w:r w:rsidRPr="006D2B2D">
        <w:rPr>
          <w:smallCaps/>
        </w:rPr>
        <w:t xml:space="preserve">, </w:t>
      </w:r>
      <w:r w:rsidRPr="006D2B2D">
        <w:rPr>
          <w:i/>
          <w:smallCaps/>
        </w:rPr>
        <w:t>I</w:t>
      </w:r>
      <w:r w:rsidRPr="006D2B2D">
        <w:rPr>
          <w:i/>
        </w:rPr>
        <w:t xml:space="preserve"> princìpi di proporzionalità e precauzione nella giurisprudenza della Corte di giustizia: verso l’effettività della tutela del cittadino</w:t>
      </w:r>
      <w:r w:rsidRPr="006D2B2D">
        <w:t xml:space="preserve">, in </w:t>
      </w:r>
      <w:r w:rsidRPr="006D2B2D">
        <w:rPr>
          <w:i/>
        </w:rPr>
        <w:t xml:space="preserve">Dir. </w:t>
      </w:r>
      <w:proofErr w:type="gramStart"/>
      <w:r w:rsidRPr="006D2B2D">
        <w:rPr>
          <w:i/>
        </w:rPr>
        <w:t>giur.</w:t>
      </w:r>
      <w:proofErr w:type="gramEnd"/>
      <w:r w:rsidRPr="006D2B2D">
        <w:rPr>
          <w:i/>
        </w:rPr>
        <w:t xml:space="preserve"> </w:t>
      </w:r>
      <w:proofErr w:type="spellStart"/>
      <w:r w:rsidRPr="006D2B2D">
        <w:rPr>
          <w:i/>
        </w:rPr>
        <w:t>agr</w:t>
      </w:r>
      <w:proofErr w:type="spellEnd"/>
      <w:r w:rsidRPr="006D2B2D">
        <w:rPr>
          <w:i/>
        </w:rPr>
        <w:t xml:space="preserve">. </w:t>
      </w:r>
      <w:proofErr w:type="spellStart"/>
      <w:r w:rsidRPr="006D2B2D">
        <w:rPr>
          <w:i/>
        </w:rPr>
        <w:t>alim</w:t>
      </w:r>
      <w:proofErr w:type="spellEnd"/>
      <w:r w:rsidRPr="006D2B2D">
        <w:rPr>
          <w:i/>
        </w:rPr>
        <w:t xml:space="preserve">. </w:t>
      </w:r>
      <w:proofErr w:type="spellStart"/>
      <w:r w:rsidRPr="006D2B2D">
        <w:rPr>
          <w:i/>
        </w:rPr>
        <w:t>amb</w:t>
      </w:r>
      <w:proofErr w:type="spellEnd"/>
      <w:r w:rsidRPr="006D2B2D">
        <w:rPr>
          <w:i/>
        </w:rPr>
        <w:t>.</w:t>
      </w:r>
      <w:r w:rsidRPr="006D2B2D">
        <w:t xml:space="preserve">, 2011, 183 ss. </w:t>
      </w:r>
    </w:p>
  </w:footnote>
  <w:footnote w:id="5">
    <w:p w14:paraId="2B287F9D" w14:textId="50D59C34" w:rsidR="00CD6AA0" w:rsidRPr="006D2B2D" w:rsidRDefault="00CD6AA0" w:rsidP="00FE492D">
      <w:pPr>
        <w:pStyle w:val="Testonotaapidipagina"/>
        <w:spacing w:before="120"/>
        <w:jc w:val="both"/>
      </w:pPr>
      <w:r w:rsidRPr="006D2B2D">
        <w:rPr>
          <w:rStyle w:val="Rimandonotaapidipagina"/>
        </w:rPr>
        <w:footnoteRef/>
      </w:r>
      <w:r w:rsidRPr="006D2B2D">
        <w:t xml:space="preserve"> Cfr., ad es., </w:t>
      </w:r>
      <w:proofErr w:type="gramStart"/>
      <w:r w:rsidRPr="006D2B2D">
        <w:t>Cons.</w:t>
      </w:r>
      <w:proofErr w:type="gramEnd"/>
      <w:r w:rsidRPr="006D2B2D">
        <w:t xml:space="preserve"> Stato, sez. V, 18 maggio 2015, n. 2495; </w:t>
      </w:r>
      <w:r>
        <w:t>id.</w:t>
      </w:r>
      <w:r w:rsidRPr="006D2B2D">
        <w:t xml:space="preserve">, sez. III, 6 febbraio 2015, n. 605; </w:t>
      </w:r>
      <w:r>
        <w:t>id.</w:t>
      </w:r>
      <w:r w:rsidRPr="006D2B2D">
        <w:t xml:space="preserve">, sez. IV, 11 novembre 2014, n. 5525, in </w:t>
      </w:r>
      <w:proofErr w:type="spellStart"/>
      <w:r w:rsidRPr="006D2B2D">
        <w:rPr>
          <w:i/>
        </w:rPr>
        <w:t>Riv</w:t>
      </w:r>
      <w:proofErr w:type="spellEnd"/>
      <w:r w:rsidRPr="006D2B2D">
        <w:rPr>
          <w:i/>
        </w:rPr>
        <w:t xml:space="preserve">. giur. </w:t>
      </w:r>
      <w:proofErr w:type="spellStart"/>
      <w:r w:rsidRPr="006D2B2D">
        <w:rPr>
          <w:i/>
        </w:rPr>
        <w:t>edil</w:t>
      </w:r>
      <w:proofErr w:type="spellEnd"/>
      <w:r w:rsidRPr="006D2B2D">
        <w:rPr>
          <w:i/>
        </w:rPr>
        <w:t>.</w:t>
      </w:r>
      <w:r w:rsidRPr="006D2B2D">
        <w:t>, 2014, 1271.</w:t>
      </w:r>
    </w:p>
  </w:footnote>
  <w:footnote w:id="6">
    <w:p w14:paraId="5CE3B450" w14:textId="29FFB3EB" w:rsidR="00CD6AA0" w:rsidRPr="006D2B2D" w:rsidRDefault="00CD6AA0" w:rsidP="00FE492D">
      <w:pPr>
        <w:pStyle w:val="Testonotaapidipagina"/>
        <w:spacing w:before="120"/>
        <w:jc w:val="both"/>
      </w:pPr>
      <w:r w:rsidRPr="006D2B2D">
        <w:rPr>
          <w:rStyle w:val="Rimandonotaapidipagina"/>
        </w:rPr>
        <w:footnoteRef/>
      </w:r>
      <w:r>
        <w:t xml:space="preserve"> </w:t>
      </w:r>
      <w:r w:rsidRPr="006D2B2D">
        <w:t xml:space="preserve">Nell’ambito della giurisprudenza più recente, si </w:t>
      </w:r>
      <w:proofErr w:type="gramStart"/>
      <w:r w:rsidRPr="006D2B2D">
        <w:t>vedano</w:t>
      </w:r>
      <w:proofErr w:type="gramEnd"/>
      <w:r w:rsidRPr="006D2B2D">
        <w:t xml:space="preserve">, ad esempio, </w:t>
      </w:r>
      <w:proofErr w:type="spellStart"/>
      <w:r w:rsidRPr="006D2B2D">
        <w:t>T.a.r</w:t>
      </w:r>
      <w:proofErr w:type="spellEnd"/>
      <w:r w:rsidRPr="006D2B2D">
        <w:t xml:space="preserve">. Liguria, sez. I, 30 aprile 2015, n. 427, che ha annullato l’ordinanza </w:t>
      </w:r>
      <w:r w:rsidRPr="006D2B2D">
        <w:rPr>
          <w:i/>
        </w:rPr>
        <w:t>ex</w:t>
      </w:r>
      <w:r w:rsidRPr="006D2B2D">
        <w:t xml:space="preserve"> </w:t>
      </w:r>
      <w:r w:rsidRPr="006D2B2D">
        <w:rPr>
          <w:i/>
        </w:rPr>
        <w:t>artt.</w:t>
      </w:r>
      <w:r w:rsidRPr="006D2B2D">
        <w:t xml:space="preserve"> 50 e 54 </w:t>
      </w:r>
      <w:proofErr w:type="spellStart"/>
      <w:r w:rsidRPr="006D2B2D">
        <w:t>t.u.e.l</w:t>
      </w:r>
      <w:proofErr w:type="spellEnd"/>
      <w:r w:rsidRPr="006D2B2D">
        <w:t xml:space="preserve">. con la quale un Sindaco, al dichiarato scopo di minimizzare l’esposizione della popolazione ai campi elettromagnetici e i connessi rischi per la salute pubblica, aveva vietato –nelle more dell’approvazione del piano comunale di organizzazione del sistema delle teleradiocomunicazioni – di installare qualsiasi tipo di impianto di radio base a una distanza inferiore a 50 metri da alcuni edifici specificamente individuati come “siti sensibili” del territorio comunale (scuole, strutture sanitarie, residenze per anziani, impianti sportivi) “nell’ottica di un superiore principio di precauzione”; </w:t>
      </w:r>
      <w:proofErr w:type="spellStart"/>
      <w:r w:rsidRPr="006D2B2D">
        <w:t>T.a.r</w:t>
      </w:r>
      <w:proofErr w:type="spellEnd"/>
      <w:r w:rsidRPr="006D2B2D">
        <w:t xml:space="preserve">. Puglia – Bari, sez. I, 24 marzo 2015, n. 479, sulla quale v. </w:t>
      </w:r>
      <w:r w:rsidRPr="006D2B2D">
        <w:rPr>
          <w:i/>
        </w:rPr>
        <w:t>infra</w:t>
      </w:r>
      <w:r w:rsidRPr="006D2B2D">
        <w:t xml:space="preserve">. </w:t>
      </w:r>
    </w:p>
    <w:p w14:paraId="4BB463CE" w14:textId="77BB13C3" w:rsidR="00CD6AA0" w:rsidRPr="006D2B2D" w:rsidRDefault="00CD6AA0" w:rsidP="00710C59">
      <w:pPr>
        <w:pStyle w:val="Testonotaapidipagina"/>
        <w:jc w:val="both"/>
      </w:pPr>
      <w:r w:rsidRPr="006D2B2D">
        <w:t xml:space="preserve">Nella giurisprudenza meno recente, cfr. </w:t>
      </w:r>
      <w:proofErr w:type="spellStart"/>
      <w:proofErr w:type="gramStart"/>
      <w:r w:rsidRPr="006D2B2D">
        <w:t>T.a.r</w:t>
      </w:r>
      <w:proofErr w:type="spellEnd"/>
      <w:r w:rsidRPr="006D2B2D">
        <w:t>.</w:t>
      </w:r>
      <w:proofErr w:type="gramEnd"/>
      <w:r w:rsidRPr="006D2B2D">
        <w:t xml:space="preserve"> Calabria – Reggio Calabria, sentenza 4 giugno 2013, n. 357, che ha accertato l’illegittimità dell’ordinanza ex art. 50 e </w:t>
      </w:r>
      <w:proofErr w:type="gramStart"/>
      <w:r w:rsidRPr="006D2B2D">
        <w:t>54</w:t>
      </w:r>
      <w:proofErr w:type="gramEnd"/>
      <w:r w:rsidRPr="006D2B2D">
        <w:t xml:space="preserve"> </w:t>
      </w:r>
      <w:proofErr w:type="spellStart"/>
      <w:r w:rsidRPr="006D2B2D">
        <w:t>t.u.e.l</w:t>
      </w:r>
      <w:proofErr w:type="spellEnd"/>
      <w:r w:rsidRPr="006D2B2D">
        <w:t xml:space="preserve">. con la quale il Sindaco, allo scopo di adottare l’impostazione più restrittiva nella definizione del livello più basso di rischio da inquinamento da onde elettromagnetiche, aveva ordinato agli uffici di sospendere tutte le richieste di autorizzazione all’installazione di impianti per le telecomunicazioni e la radiodiffusione in vista dell’adozione di un futuro regolamento comunale. Cfr. anche </w:t>
      </w:r>
      <w:proofErr w:type="spellStart"/>
      <w:proofErr w:type="gramStart"/>
      <w:r w:rsidRPr="006D2B2D">
        <w:t>T.a.r</w:t>
      </w:r>
      <w:proofErr w:type="spellEnd"/>
      <w:r w:rsidRPr="006D2B2D">
        <w:t>.</w:t>
      </w:r>
      <w:proofErr w:type="gramEnd"/>
      <w:r w:rsidRPr="006D2B2D">
        <w:t xml:space="preserve"> Puglia – Bari, sez. I, sentenza 8 aprile 2014, n. 465, che ha accertato l’illegittimità dell’ordinanza con la quale il Sindaco di un Comune, invocando tra gli altri il principio di precauzione, aveva ordinato al ricorrente la sospensione dei lavori per l’installazione di una stazione radio base. In materia di (supposto) inquinamento elettromagnetico, tra le tante pronunce, cfr. </w:t>
      </w:r>
      <w:proofErr w:type="spellStart"/>
      <w:proofErr w:type="gramStart"/>
      <w:r w:rsidRPr="006D2B2D">
        <w:t>T.a.r</w:t>
      </w:r>
      <w:proofErr w:type="spellEnd"/>
      <w:r w:rsidRPr="006D2B2D">
        <w:t>.</w:t>
      </w:r>
      <w:proofErr w:type="gramEnd"/>
      <w:r w:rsidRPr="006D2B2D">
        <w:t xml:space="preserve"> Veneto, sez. II, 1 giugno 2004, n. 1763 in </w:t>
      </w:r>
      <w:r w:rsidRPr="006D2B2D">
        <w:rPr>
          <w:i/>
        </w:rPr>
        <w:t xml:space="preserve">Foro </w:t>
      </w:r>
      <w:proofErr w:type="spellStart"/>
      <w:r w:rsidRPr="006D2B2D">
        <w:rPr>
          <w:i/>
        </w:rPr>
        <w:t>amm</w:t>
      </w:r>
      <w:proofErr w:type="spellEnd"/>
      <w:r w:rsidRPr="006D2B2D">
        <w:rPr>
          <w:i/>
        </w:rPr>
        <w:t xml:space="preserve">. – TAR, </w:t>
      </w:r>
      <w:r w:rsidRPr="006D2B2D">
        <w:t xml:space="preserve">2004, 1661; </w:t>
      </w:r>
      <w:proofErr w:type="spellStart"/>
      <w:r w:rsidRPr="006D2B2D">
        <w:t>T.a.r</w:t>
      </w:r>
      <w:proofErr w:type="spellEnd"/>
      <w:r w:rsidRPr="006D2B2D">
        <w:t xml:space="preserve">. Toscana, sez. I, 26 luglio 2001, n. 1266 in </w:t>
      </w:r>
      <w:r w:rsidRPr="006D2B2D">
        <w:rPr>
          <w:i/>
        </w:rPr>
        <w:t xml:space="preserve">Foro </w:t>
      </w:r>
      <w:proofErr w:type="spellStart"/>
      <w:r w:rsidRPr="006D2B2D">
        <w:rPr>
          <w:i/>
        </w:rPr>
        <w:t>amm</w:t>
      </w:r>
      <w:proofErr w:type="spellEnd"/>
      <w:r w:rsidRPr="006D2B2D">
        <w:rPr>
          <w:i/>
        </w:rPr>
        <w:t>.</w:t>
      </w:r>
      <w:r w:rsidRPr="006D2B2D">
        <w:t xml:space="preserve">, 2001, 2455, con nota di G.D. </w:t>
      </w:r>
      <w:r w:rsidRPr="006D2B2D">
        <w:rPr>
          <w:smallCaps/>
        </w:rPr>
        <w:t>Comporti</w:t>
      </w:r>
      <w:r w:rsidRPr="006D2B2D">
        <w:t xml:space="preserve">, </w:t>
      </w:r>
      <w:r w:rsidRPr="006D2B2D">
        <w:rPr>
          <w:i/>
        </w:rPr>
        <w:t>Amministrazioni e giudici sull’onda dell’elettrosmog</w:t>
      </w:r>
      <w:r w:rsidRPr="006D2B2D">
        <w:t>.</w:t>
      </w:r>
    </w:p>
  </w:footnote>
  <w:footnote w:id="7">
    <w:p w14:paraId="747D319E" w14:textId="4DD09AEC" w:rsidR="00CD6AA0" w:rsidRPr="006D2B2D" w:rsidRDefault="00CD6AA0" w:rsidP="00FE492D">
      <w:pPr>
        <w:pStyle w:val="Testonotaapidipagina"/>
        <w:spacing w:before="120"/>
        <w:jc w:val="both"/>
      </w:pPr>
      <w:r w:rsidRPr="006D2B2D">
        <w:rPr>
          <w:rStyle w:val="Rimandonotaapidipagina"/>
        </w:rPr>
        <w:footnoteRef/>
      </w:r>
      <w:r w:rsidRPr="006D2B2D">
        <w:t xml:space="preserve"> Per un’approfondita analisi dei profili giuridici di maggior interesse </w:t>
      </w:r>
      <w:proofErr w:type="gramStart"/>
      <w:r w:rsidRPr="006D2B2D">
        <w:t>relativi alla</w:t>
      </w:r>
      <w:proofErr w:type="gramEnd"/>
      <w:r w:rsidRPr="006D2B2D">
        <w:t xml:space="preserve"> tutela dell’ambiente si rinvia alle sempre attuali riflessioni di </w:t>
      </w:r>
      <w:r w:rsidRPr="006D2B2D">
        <w:rPr>
          <w:smallCaps/>
        </w:rPr>
        <w:t>A. Angiuli</w:t>
      </w:r>
      <w:r w:rsidRPr="006D2B2D">
        <w:t xml:space="preserve">, </w:t>
      </w:r>
      <w:r w:rsidRPr="006D2B2D">
        <w:rPr>
          <w:i/>
          <w:iCs/>
        </w:rPr>
        <w:t>Interessi collettivi e tutela giurisdizionale</w:t>
      </w:r>
      <w:r w:rsidRPr="006D2B2D">
        <w:t xml:space="preserve">. </w:t>
      </w:r>
      <w:r w:rsidRPr="006D2B2D">
        <w:rPr>
          <w:i/>
          <w:iCs/>
        </w:rPr>
        <w:t>Le azioni comunali e surrogatorie</w:t>
      </w:r>
      <w:r w:rsidRPr="006D2B2D">
        <w:t xml:space="preserve">, Napoli, 1984-1986; </w:t>
      </w:r>
      <w:proofErr w:type="gramStart"/>
      <w:r w:rsidRPr="006D2B2D">
        <w:rPr>
          <w:smallCaps/>
        </w:rPr>
        <w:t>Id.</w:t>
      </w:r>
      <w:proofErr w:type="gramEnd"/>
      <w:r w:rsidRPr="006D2B2D">
        <w:t xml:space="preserve">, </w:t>
      </w:r>
      <w:r w:rsidRPr="006D2B2D">
        <w:rPr>
          <w:i/>
        </w:rPr>
        <w:t xml:space="preserve">Diritto e processo nella tutela del paesaggio. Percorsi di </w:t>
      </w:r>
      <w:proofErr w:type="gramStart"/>
      <w:r w:rsidRPr="006D2B2D">
        <w:rPr>
          <w:i/>
        </w:rPr>
        <w:t xml:space="preserve">una </w:t>
      </w:r>
      <w:proofErr w:type="gramEnd"/>
      <w:r w:rsidRPr="006D2B2D">
        <w:rPr>
          <w:i/>
        </w:rPr>
        <w:t>integrazione tra ordinamenti</w:t>
      </w:r>
      <w:r w:rsidRPr="006D2B2D">
        <w:t xml:space="preserve">, in </w:t>
      </w:r>
      <w:r w:rsidRPr="006D2B2D">
        <w:rPr>
          <w:i/>
        </w:rPr>
        <w:t>Studi</w:t>
      </w:r>
      <w:r w:rsidRPr="006D2B2D">
        <w:t xml:space="preserve"> </w:t>
      </w:r>
      <w:r w:rsidRPr="001C2D92">
        <w:rPr>
          <w:i/>
        </w:rPr>
        <w:t>in onore di Alberto Romano</w:t>
      </w:r>
      <w:r w:rsidRPr="006D2B2D">
        <w:t>, Napoli, 2011, 1009 ss.</w:t>
      </w:r>
    </w:p>
  </w:footnote>
  <w:footnote w:id="8">
    <w:p w14:paraId="72536E8B" w14:textId="12EDEF6B" w:rsidR="00CD6AA0" w:rsidRPr="006D2B2D" w:rsidRDefault="00CD6AA0" w:rsidP="00FE492D">
      <w:pPr>
        <w:pStyle w:val="Testonotaapidipagina"/>
        <w:spacing w:before="120"/>
      </w:pPr>
      <w:r w:rsidRPr="006D2B2D">
        <w:rPr>
          <w:rStyle w:val="Rimandonotaapidipagina"/>
        </w:rPr>
        <w:footnoteRef/>
      </w:r>
      <w:r w:rsidRPr="006D2B2D">
        <w:t xml:space="preserve"> L’espressione è di </w:t>
      </w:r>
      <w:r w:rsidRPr="006D2B2D">
        <w:rPr>
          <w:smallCaps/>
        </w:rPr>
        <w:t xml:space="preserve">V. </w:t>
      </w:r>
      <w:proofErr w:type="spellStart"/>
      <w:r w:rsidRPr="006D2B2D">
        <w:rPr>
          <w:smallCaps/>
        </w:rPr>
        <w:t>Cerulli</w:t>
      </w:r>
      <w:proofErr w:type="spellEnd"/>
      <w:r w:rsidRPr="006D2B2D">
        <w:rPr>
          <w:smallCaps/>
        </w:rPr>
        <w:t xml:space="preserve"> Irelli</w:t>
      </w:r>
      <w:r w:rsidRPr="006D2B2D">
        <w:t xml:space="preserve">, </w:t>
      </w:r>
      <w:r w:rsidRPr="006D2B2D">
        <w:rPr>
          <w:i/>
        </w:rPr>
        <w:t>Sindaco legislatore</w:t>
      </w:r>
      <w:proofErr w:type="gramStart"/>
      <w:r w:rsidRPr="006D2B2D">
        <w:rPr>
          <w:i/>
        </w:rPr>
        <w:t>?,</w:t>
      </w:r>
      <w:proofErr w:type="gramEnd"/>
      <w:r w:rsidRPr="006D2B2D">
        <w:rPr>
          <w:i/>
        </w:rPr>
        <w:t xml:space="preserve"> </w:t>
      </w:r>
      <w:r w:rsidRPr="006D2B2D">
        <w:t xml:space="preserve">in </w:t>
      </w:r>
      <w:r w:rsidRPr="006D2B2D">
        <w:rPr>
          <w:i/>
        </w:rPr>
        <w:t xml:space="preserve">Giur. </w:t>
      </w:r>
      <w:proofErr w:type="spellStart"/>
      <w:r w:rsidRPr="006D2B2D">
        <w:rPr>
          <w:i/>
        </w:rPr>
        <w:t>cost</w:t>
      </w:r>
      <w:proofErr w:type="spellEnd"/>
      <w:r w:rsidRPr="006D2B2D">
        <w:rPr>
          <w:i/>
        </w:rPr>
        <w:t>.</w:t>
      </w:r>
      <w:r w:rsidRPr="006D2B2D">
        <w:t>, 2011, 1600 ss.</w:t>
      </w:r>
    </w:p>
  </w:footnote>
  <w:footnote w:id="9">
    <w:p w14:paraId="484C60A1" w14:textId="7916218D" w:rsidR="00CD6AA0" w:rsidRDefault="00CD6AA0" w:rsidP="00D71F5A">
      <w:pPr>
        <w:pStyle w:val="Testonotaapidipagina"/>
        <w:spacing w:before="120"/>
      </w:pPr>
      <w:r>
        <w:rPr>
          <w:rStyle w:val="Rimandonotaapidipagina"/>
        </w:rPr>
        <w:footnoteRef/>
      </w:r>
      <w:r>
        <w:t xml:space="preserve"> Cfr. </w:t>
      </w:r>
      <w:r w:rsidRPr="00D71F5A">
        <w:rPr>
          <w:i/>
        </w:rPr>
        <w:t>infra</w:t>
      </w:r>
      <w:r>
        <w:t>, par. 4.</w:t>
      </w:r>
    </w:p>
  </w:footnote>
  <w:footnote w:id="10">
    <w:p w14:paraId="05C4B832" w14:textId="5030CC47" w:rsidR="00CD6AA0" w:rsidRPr="006D2B2D" w:rsidRDefault="00CD6AA0" w:rsidP="00FE492D">
      <w:pPr>
        <w:pStyle w:val="Testonotaapidipagina"/>
        <w:spacing w:before="120"/>
        <w:jc w:val="both"/>
      </w:pPr>
      <w:r w:rsidRPr="006D2B2D">
        <w:rPr>
          <w:rStyle w:val="Rimandonotaapidipagina"/>
        </w:rPr>
        <w:footnoteRef/>
      </w:r>
      <w:r w:rsidRPr="006D2B2D">
        <w:t xml:space="preserve"> Corte </w:t>
      </w:r>
      <w:proofErr w:type="spellStart"/>
      <w:proofErr w:type="gramStart"/>
      <w:r w:rsidRPr="006D2B2D">
        <w:t>cost</w:t>
      </w:r>
      <w:proofErr w:type="spellEnd"/>
      <w:r w:rsidRPr="006D2B2D">
        <w:t>.</w:t>
      </w:r>
      <w:proofErr w:type="gramEnd"/>
      <w:r w:rsidRPr="006D2B2D">
        <w:t xml:space="preserve">, 26 giugno 2002, n. 282 in </w:t>
      </w:r>
      <w:r w:rsidRPr="006D2B2D">
        <w:rPr>
          <w:i/>
        </w:rPr>
        <w:t xml:space="preserve">Foro </w:t>
      </w:r>
      <w:proofErr w:type="spellStart"/>
      <w:r w:rsidRPr="006D2B2D">
        <w:rPr>
          <w:i/>
        </w:rPr>
        <w:t>amm</w:t>
      </w:r>
      <w:proofErr w:type="spellEnd"/>
      <w:r w:rsidRPr="006D2B2D">
        <w:rPr>
          <w:i/>
        </w:rPr>
        <w:t>.</w:t>
      </w:r>
      <w:r>
        <w:rPr>
          <w:i/>
        </w:rPr>
        <w:t xml:space="preserve"> </w:t>
      </w:r>
      <w:r w:rsidRPr="006D2B2D">
        <w:rPr>
          <w:i/>
        </w:rPr>
        <w:t xml:space="preserve">- </w:t>
      </w:r>
      <w:proofErr w:type="spellStart"/>
      <w:r w:rsidRPr="006D2B2D">
        <w:rPr>
          <w:i/>
        </w:rPr>
        <w:t>CdS</w:t>
      </w:r>
      <w:proofErr w:type="spellEnd"/>
      <w:r w:rsidRPr="006D2B2D">
        <w:t>, 2002, 2787 con nota di C.E.</w:t>
      </w:r>
      <w:r w:rsidRPr="006D2B2D">
        <w:rPr>
          <w:smallCaps/>
        </w:rPr>
        <w:t xml:space="preserve"> Gallo</w:t>
      </w:r>
      <w:r w:rsidRPr="006D2B2D">
        <w:t xml:space="preserve">, </w:t>
      </w:r>
      <w:r w:rsidRPr="006D2B2D">
        <w:rPr>
          <w:bCs/>
          <w:i/>
        </w:rPr>
        <w:t>La potestà legislativa regionale concorrente, i diritti fondamentali ed i limiti alla discrezionalità del legislatore davanti alla Corte costituzionale</w:t>
      </w:r>
      <w:r w:rsidRPr="006D2B2D">
        <w:rPr>
          <w:bCs/>
        </w:rPr>
        <w:t xml:space="preserve">, </w:t>
      </w:r>
      <w:r w:rsidRPr="006D2B2D">
        <w:rPr>
          <w:i/>
        </w:rPr>
        <w:t>ivi</w:t>
      </w:r>
      <w:r w:rsidRPr="006D2B2D">
        <w:t xml:space="preserve">, 2791 ss., nonché in </w:t>
      </w:r>
      <w:r w:rsidRPr="006D2B2D">
        <w:rPr>
          <w:i/>
        </w:rPr>
        <w:t xml:space="preserve">Giur. </w:t>
      </w:r>
      <w:proofErr w:type="spellStart"/>
      <w:r w:rsidRPr="006D2B2D">
        <w:rPr>
          <w:i/>
        </w:rPr>
        <w:t>cost</w:t>
      </w:r>
      <w:proofErr w:type="spellEnd"/>
      <w:r w:rsidRPr="006D2B2D">
        <w:rPr>
          <w:i/>
        </w:rPr>
        <w:t>.</w:t>
      </w:r>
      <w:r w:rsidRPr="006D2B2D">
        <w:t xml:space="preserve">, 2002, 2012, con nota di A. </w:t>
      </w:r>
      <w:r w:rsidRPr="006D2B2D">
        <w:rPr>
          <w:smallCaps/>
        </w:rPr>
        <w:t>D’Atena</w:t>
      </w:r>
      <w:r w:rsidRPr="006D2B2D">
        <w:t xml:space="preserve">, </w:t>
      </w:r>
      <w:r w:rsidRPr="006D2B2D">
        <w:rPr>
          <w:i/>
        </w:rPr>
        <w:t>La Consulta parla… e la riforma del Titolo V entra in vigore</w:t>
      </w:r>
      <w:r w:rsidRPr="006D2B2D">
        <w:t xml:space="preserve">, </w:t>
      </w:r>
      <w:r w:rsidRPr="006D2B2D">
        <w:rPr>
          <w:i/>
        </w:rPr>
        <w:t>ivi</w:t>
      </w:r>
      <w:r w:rsidRPr="006D2B2D">
        <w:t>, 2027 ss.</w:t>
      </w:r>
    </w:p>
  </w:footnote>
  <w:footnote w:id="11">
    <w:p w14:paraId="3AE24986" w14:textId="096A2859" w:rsidR="00CD6AA0" w:rsidRPr="006D2B2D" w:rsidRDefault="00CD6AA0" w:rsidP="005F6386">
      <w:pPr>
        <w:pStyle w:val="Testonotaapidipagina"/>
        <w:spacing w:before="120"/>
        <w:jc w:val="both"/>
      </w:pPr>
      <w:r w:rsidRPr="006D2B2D">
        <w:rPr>
          <w:rStyle w:val="Rimandonotaapidipagina"/>
        </w:rPr>
        <w:footnoteRef/>
      </w:r>
      <w:r w:rsidRPr="006D2B2D">
        <w:t xml:space="preserve"> </w:t>
      </w:r>
      <w:proofErr w:type="gramStart"/>
      <w:r w:rsidRPr="006D2B2D">
        <w:t xml:space="preserve">Per i profili evolutivi, cfr. </w:t>
      </w:r>
      <w:r w:rsidRPr="006D2B2D">
        <w:rPr>
          <w:smallCaps/>
        </w:rPr>
        <w:t>F. Fracchia</w:t>
      </w:r>
      <w:r w:rsidRPr="006D2B2D">
        <w:t xml:space="preserve">, </w:t>
      </w:r>
      <w:r w:rsidRPr="006D2B2D">
        <w:rPr>
          <w:i/>
          <w:lang w:val="en-GB"/>
        </w:rPr>
        <w:t>Environmental Law</w:t>
      </w:r>
      <w:r w:rsidRPr="006D2B2D">
        <w:t xml:space="preserve">, in </w:t>
      </w:r>
      <w:r w:rsidRPr="006D2B2D">
        <w:rPr>
          <w:i/>
          <w:lang w:val="en-GB"/>
        </w:rPr>
        <w:t>Principle, Definitions and Protection Models</w:t>
      </w:r>
      <w:r w:rsidRPr="006D2B2D">
        <w:t>, Napoli, 2015.</w:t>
      </w:r>
      <w:proofErr w:type="gramEnd"/>
    </w:p>
  </w:footnote>
  <w:footnote w:id="12">
    <w:p w14:paraId="66DB06A4" w14:textId="63548F58" w:rsidR="00CD6AA0" w:rsidRPr="006D2B2D" w:rsidRDefault="00CD6AA0" w:rsidP="00FE492D">
      <w:pPr>
        <w:pStyle w:val="Testonotaapidipagina"/>
        <w:spacing w:before="120"/>
        <w:jc w:val="both"/>
        <w:rPr>
          <w:smallCaps/>
        </w:rPr>
      </w:pPr>
      <w:r w:rsidRPr="006D2B2D">
        <w:rPr>
          <w:rStyle w:val="Rimandonotaapidipagina"/>
        </w:rPr>
        <w:footnoteRef/>
      </w:r>
      <w:r w:rsidRPr="006D2B2D">
        <w:t xml:space="preserve"> Corte di giustizia UE, sentenza 21 marzo 2000, causa C-6/99, </w:t>
      </w:r>
      <w:r w:rsidRPr="006D2B2D">
        <w:rPr>
          <w:i/>
        </w:rPr>
        <w:t xml:space="preserve">Greenpeace, </w:t>
      </w:r>
      <w:r w:rsidRPr="006D2B2D">
        <w:t xml:space="preserve">in </w:t>
      </w:r>
      <w:r w:rsidRPr="006D2B2D">
        <w:rPr>
          <w:i/>
        </w:rPr>
        <w:t>Racc.</w:t>
      </w:r>
      <w:r w:rsidRPr="006D2B2D">
        <w:t xml:space="preserve">, I-1651. Sull’evoluzione della giurisprudenza comunitaria cfr. F </w:t>
      </w:r>
      <w:r w:rsidRPr="006D2B2D">
        <w:rPr>
          <w:smallCaps/>
        </w:rPr>
        <w:t xml:space="preserve">De Leonardis, </w:t>
      </w:r>
      <w:r w:rsidRPr="006D2B2D">
        <w:rPr>
          <w:i/>
        </w:rPr>
        <w:t xml:space="preserve">Il principio di precauzione, </w:t>
      </w:r>
      <w:r w:rsidRPr="006D2B2D">
        <w:t xml:space="preserve">cit., </w:t>
      </w:r>
      <w:proofErr w:type="gramStart"/>
      <w:r w:rsidRPr="006D2B2D">
        <w:t>65</w:t>
      </w:r>
      <w:proofErr w:type="gramEnd"/>
      <w:r w:rsidRPr="006D2B2D">
        <w:t xml:space="preserve"> ss.</w:t>
      </w:r>
    </w:p>
  </w:footnote>
  <w:footnote w:id="13">
    <w:p w14:paraId="13A9340E" w14:textId="1F194812" w:rsidR="00CD6AA0" w:rsidRPr="006D2B2D" w:rsidRDefault="00CD6AA0" w:rsidP="00FE492D">
      <w:pPr>
        <w:pStyle w:val="Testonotaapidipagina"/>
        <w:spacing w:before="120"/>
        <w:jc w:val="both"/>
      </w:pPr>
      <w:r w:rsidRPr="006D2B2D">
        <w:rPr>
          <w:rStyle w:val="Rimandonotaapidipagina"/>
        </w:rPr>
        <w:footnoteRef/>
      </w:r>
      <w:r w:rsidRPr="006D2B2D">
        <w:t xml:space="preserve"> </w:t>
      </w:r>
      <w:proofErr w:type="spellStart"/>
      <w:r w:rsidRPr="006D2B2D">
        <w:t>Trib</w:t>
      </w:r>
      <w:proofErr w:type="spellEnd"/>
      <w:r w:rsidRPr="006D2B2D">
        <w:t xml:space="preserve">. UE, sentenza 26 novembre 2002, causa T-74/00, § 183 </w:t>
      </w:r>
      <w:proofErr w:type="gramStart"/>
      <w:r w:rsidRPr="006D2B2D">
        <w:t>ss.</w:t>
      </w:r>
      <w:proofErr w:type="gramEnd"/>
      <w:r w:rsidRPr="006D2B2D">
        <w:t>: «</w:t>
      </w:r>
      <w:r w:rsidRPr="006D2B2D">
        <w:rPr>
          <w:i/>
        </w:rPr>
        <w:t xml:space="preserve">Nonostante sia menzionato nel Trattato solamente in relazione alla politica ambientale, il principio di precauzione ha quindi un ambito di applicazione più ampio. Esso è destinato ad applicarsi, al fine di assicurare un livello elevato di protezione della salute, della sicurezza dei consumatori e dell’ambiente, in tutti gli ambiti di azione della Comunità. In particolare, l’art. 3, </w:t>
      </w:r>
      <w:proofErr w:type="spellStart"/>
      <w:proofErr w:type="gramStart"/>
      <w:r w:rsidRPr="006D2B2D">
        <w:rPr>
          <w:i/>
        </w:rPr>
        <w:t>lett</w:t>
      </w:r>
      <w:proofErr w:type="spellEnd"/>
      <w:r w:rsidRPr="006D2B2D">
        <w:rPr>
          <w:i/>
        </w:rPr>
        <w:t>.</w:t>
      </w:r>
      <w:proofErr w:type="gramEnd"/>
      <w:r w:rsidRPr="006D2B2D">
        <w:rPr>
          <w:i/>
        </w:rPr>
        <w:t xml:space="preserve"> p), CE prevede tra le politiche e le azioni della Comunità, «un contributo al conseguimento di un elevato livello di protezione della salute». Del pari, l’art. 153 </w:t>
      </w:r>
      <w:proofErr w:type="gramStart"/>
      <w:r w:rsidRPr="006D2B2D">
        <w:rPr>
          <w:i/>
        </w:rPr>
        <w:t>CE</w:t>
      </w:r>
      <w:proofErr w:type="gramEnd"/>
      <w:r w:rsidRPr="006D2B2D">
        <w:rPr>
          <w:i/>
        </w:rPr>
        <w:t xml:space="preserve"> mira a un elevato livello di protezione dei consumatori e l’art. 174, n. 2, </w:t>
      </w:r>
      <w:proofErr w:type="gramStart"/>
      <w:r w:rsidRPr="006D2B2D">
        <w:rPr>
          <w:i/>
        </w:rPr>
        <w:t>CE</w:t>
      </w:r>
      <w:proofErr w:type="gramEnd"/>
      <w:r w:rsidRPr="006D2B2D">
        <w:rPr>
          <w:i/>
        </w:rPr>
        <w:t xml:space="preserve"> attribuisce lo scopo di garantire un elevato livello di protezione alla politica della Comunità in materia ambientale. Inoltre, le esigenze di tale elevato livello di protezione </w:t>
      </w:r>
      <w:proofErr w:type="gramStart"/>
      <w:r w:rsidRPr="006D2B2D">
        <w:rPr>
          <w:i/>
        </w:rPr>
        <w:t>dell’</w:t>
      </w:r>
      <w:proofErr w:type="gramEnd"/>
      <w:r w:rsidRPr="006D2B2D">
        <w:rPr>
          <w:i/>
        </w:rPr>
        <w:t xml:space="preserve">ambiente e della salute umana sono esplicitamente integrate nella definizione e nell’attuazione di tutte le politiche e azioni della Comunità, in forza, rispettivamente, degli artt. 6 CE e 152, n. 1, CE. Ne consegue che il principio di precauzione può essere definito come un principio generale del diritto comunitario che fa obbligo alle autorità competenti di adottare provvedimenti appropriati al fine di prevenire taluni rischi potenziali per la sanità pubblica, per la sicurezza e per l’ambiente, facendo prevalere le esigenze connesse alla protezione di tali interessi sugli </w:t>
      </w:r>
      <w:proofErr w:type="gramStart"/>
      <w:r w:rsidRPr="006D2B2D">
        <w:rPr>
          <w:i/>
        </w:rPr>
        <w:t>interessi</w:t>
      </w:r>
      <w:proofErr w:type="gramEnd"/>
      <w:r w:rsidRPr="006D2B2D">
        <w:rPr>
          <w:i/>
        </w:rPr>
        <w:t xml:space="preserve"> economici. Infatti, essendo le istituzioni comunitarie responsabili, in tutti i loro ambiti d’azione, della tutela della salute, della sicurezza e dell’ambiente, il principio di precauzione può essere considerato come un principio autonomo che discende dalle menzionate disposizioni del Trattato. Secondo una giurisprudenza consolidata, in materia sanitaria, il principio di precauzione implica che, nel caso sussistano incertezze quanto all’esistenza o alla portata dei rischi per la salute delle persone, le istituzioni possono prendere provvedimenti di tutela senza dover attendere che la realtà e la gravità di tali rischi siano pienamente dimostrate (sentenza della Corte 5 maggio 1998, causa C-180/96, Regno Unito/Commissione, in Racc., I-2265, punto </w:t>
      </w:r>
      <w:proofErr w:type="gramStart"/>
      <w:r w:rsidRPr="006D2B2D">
        <w:rPr>
          <w:i/>
        </w:rPr>
        <w:t>99</w:t>
      </w:r>
      <w:proofErr w:type="gramEnd"/>
      <w:r w:rsidRPr="006D2B2D">
        <w:rPr>
          <w:i/>
        </w:rPr>
        <w:t xml:space="preserve">, e sentenza del Tribunale 16 luglio 1998, causa T-199/96, </w:t>
      </w:r>
      <w:proofErr w:type="spellStart"/>
      <w:r w:rsidRPr="006D2B2D">
        <w:rPr>
          <w:i/>
        </w:rPr>
        <w:t>Bergaderm</w:t>
      </w:r>
      <w:proofErr w:type="spellEnd"/>
      <w:r w:rsidRPr="006D2B2D">
        <w:rPr>
          <w:i/>
        </w:rPr>
        <w:t xml:space="preserve"> e </w:t>
      </w:r>
      <w:proofErr w:type="spellStart"/>
      <w:r w:rsidRPr="006D2B2D">
        <w:rPr>
          <w:i/>
        </w:rPr>
        <w:t>Goupil</w:t>
      </w:r>
      <w:proofErr w:type="spellEnd"/>
      <w:r w:rsidRPr="006D2B2D">
        <w:rPr>
          <w:i/>
        </w:rPr>
        <w:t xml:space="preserve">/Commissione, in Racc., II-2805, punto 66). Prima che la giurisprudenza sancisse il principio di precauzione sulla base delle disposizioni </w:t>
      </w:r>
      <w:proofErr w:type="gramStart"/>
      <w:r w:rsidRPr="006D2B2D">
        <w:rPr>
          <w:i/>
        </w:rPr>
        <w:t>del</w:t>
      </w:r>
      <w:proofErr w:type="gramEnd"/>
      <w:r w:rsidRPr="006D2B2D">
        <w:rPr>
          <w:i/>
        </w:rPr>
        <w:t xml:space="preserve"> Trattato, tale principio era implicitamente applicato nell’ambito del sindacato sulla proporzionalità (v., in tal senso, ordinanza Regno Unito/Commissione, cit., punti 73-78, e ordinanza del presidente del Tribunale 13 luglio 1996, causa T-76/96 R, The National </w:t>
      </w:r>
      <w:proofErr w:type="spellStart"/>
      <w:r w:rsidRPr="006D2B2D">
        <w:rPr>
          <w:i/>
        </w:rPr>
        <w:t>Farmers</w:t>
      </w:r>
      <w:proofErr w:type="spellEnd"/>
      <w:r w:rsidRPr="006D2B2D">
        <w:rPr>
          <w:i/>
        </w:rPr>
        <w:t>’ Union e a./Commissione, in Racc., II-815, punti 82-93, in particolare punto 89)</w:t>
      </w:r>
      <w:r w:rsidRPr="006D2B2D">
        <w:t xml:space="preserve">». </w:t>
      </w:r>
    </w:p>
    <w:p w14:paraId="7B9AAF6B" w14:textId="51F77453" w:rsidR="00CD6AA0" w:rsidRPr="006D2B2D" w:rsidRDefault="00CD6AA0" w:rsidP="00710C59">
      <w:pPr>
        <w:pStyle w:val="Testonotaapidipagina"/>
        <w:jc w:val="both"/>
      </w:pPr>
      <w:proofErr w:type="gramStart"/>
      <w:r w:rsidRPr="006D2B2D">
        <w:t xml:space="preserve">Sul collegamento tra principio di precauzione e diritti delle generazioni future, cfr. F. </w:t>
      </w:r>
      <w:proofErr w:type="spellStart"/>
      <w:r w:rsidRPr="006D2B2D">
        <w:rPr>
          <w:smallCaps/>
        </w:rPr>
        <w:t>Morollo</w:t>
      </w:r>
      <w:proofErr w:type="spellEnd"/>
      <w:r w:rsidRPr="006D2B2D">
        <w:rPr>
          <w:smallCaps/>
        </w:rPr>
        <w:t xml:space="preserve">, </w:t>
      </w:r>
      <w:r w:rsidRPr="006D2B2D">
        <w:rPr>
          <w:i/>
          <w:smallCaps/>
        </w:rPr>
        <w:t>I</w:t>
      </w:r>
      <w:r w:rsidRPr="006D2B2D">
        <w:rPr>
          <w:i/>
        </w:rPr>
        <w:t>ndisponibilità del rischio per le genera</w:t>
      </w:r>
      <w:proofErr w:type="gramEnd"/>
      <w:r w:rsidRPr="006D2B2D">
        <w:rPr>
          <w:i/>
        </w:rPr>
        <w:t xml:space="preserve">zioni future. Tra inquinamento elettromagnetico e risorse naturali, </w:t>
      </w:r>
      <w:r w:rsidRPr="006D2B2D">
        <w:t>in A.</w:t>
      </w:r>
      <w:r w:rsidRPr="006D2B2D">
        <w:rPr>
          <w:smallCaps/>
        </w:rPr>
        <w:t xml:space="preserve"> Astone</w:t>
      </w:r>
      <w:r w:rsidRPr="006D2B2D">
        <w:t xml:space="preserve"> - </w:t>
      </w:r>
      <w:r w:rsidRPr="006D2B2D">
        <w:rPr>
          <w:smallCaps/>
        </w:rPr>
        <w:t xml:space="preserve">F. </w:t>
      </w:r>
      <w:proofErr w:type="spellStart"/>
      <w:r w:rsidRPr="006D2B2D">
        <w:rPr>
          <w:smallCaps/>
        </w:rPr>
        <w:t>Manganaro</w:t>
      </w:r>
      <w:proofErr w:type="spellEnd"/>
      <w:r w:rsidRPr="006D2B2D">
        <w:rPr>
          <w:smallCaps/>
        </w:rPr>
        <w:t xml:space="preserve"> - A. Romano Tassone - F. </w:t>
      </w:r>
      <w:proofErr w:type="spellStart"/>
      <w:r w:rsidRPr="006D2B2D">
        <w:rPr>
          <w:smallCaps/>
        </w:rPr>
        <w:t>Saitta</w:t>
      </w:r>
      <w:proofErr w:type="spellEnd"/>
      <w:r w:rsidRPr="006D2B2D">
        <w:t xml:space="preserve"> (a cura di)</w:t>
      </w:r>
      <w:r w:rsidRPr="006D2B2D">
        <w:rPr>
          <w:smallCaps/>
        </w:rPr>
        <w:t xml:space="preserve">, </w:t>
      </w:r>
      <w:r w:rsidRPr="006D2B2D">
        <w:rPr>
          <w:i/>
        </w:rPr>
        <w:t xml:space="preserve">Cittadinanza e diritti delle generazioni future, </w:t>
      </w:r>
      <w:r w:rsidRPr="006D2B2D">
        <w:t xml:space="preserve">Soveria Mannelli, 2010, </w:t>
      </w:r>
      <w:proofErr w:type="gramStart"/>
      <w:r w:rsidRPr="006D2B2D">
        <w:t>79</w:t>
      </w:r>
      <w:proofErr w:type="gramEnd"/>
      <w:r w:rsidRPr="006D2B2D">
        <w:t xml:space="preserve"> ss.</w:t>
      </w:r>
    </w:p>
  </w:footnote>
  <w:footnote w:id="14">
    <w:p w14:paraId="7848A703" w14:textId="77777777" w:rsidR="00CD6AA0" w:rsidRPr="006D2B2D" w:rsidRDefault="00CD6AA0" w:rsidP="00FE492D">
      <w:pPr>
        <w:pStyle w:val="Testonotaapidipagina"/>
        <w:spacing w:before="120"/>
        <w:rPr>
          <w:lang w:val="en-US"/>
        </w:rPr>
      </w:pPr>
      <w:r w:rsidRPr="006D2B2D">
        <w:rPr>
          <w:rStyle w:val="Rimandonotaapidipagina"/>
        </w:rPr>
        <w:footnoteRef/>
      </w:r>
      <w:r w:rsidRPr="006D2B2D">
        <w:rPr>
          <w:lang w:val="en-US"/>
        </w:rPr>
        <w:t xml:space="preserve"> </w:t>
      </w:r>
      <w:proofErr w:type="gramStart"/>
      <w:r w:rsidRPr="006D2B2D">
        <w:rPr>
          <w:lang w:val="en-US"/>
        </w:rPr>
        <w:t>Com. (2000) 1 def.</w:t>
      </w:r>
      <w:proofErr w:type="gramEnd"/>
    </w:p>
  </w:footnote>
  <w:footnote w:id="15">
    <w:p w14:paraId="163C03C5" w14:textId="77777777" w:rsidR="00CD6AA0" w:rsidRPr="006D2B2D" w:rsidRDefault="00CD6AA0" w:rsidP="00FE492D">
      <w:pPr>
        <w:pStyle w:val="Testonotaapidipagina"/>
        <w:spacing w:before="120"/>
        <w:rPr>
          <w:lang w:val="en-US"/>
        </w:rPr>
      </w:pPr>
      <w:r w:rsidRPr="006D2B2D">
        <w:rPr>
          <w:rStyle w:val="Rimandonotaapidipagina"/>
        </w:rPr>
        <w:footnoteRef/>
      </w:r>
      <w:r w:rsidRPr="006D2B2D">
        <w:rPr>
          <w:lang w:val="en-US"/>
        </w:rPr>
        <w:t xml:space="preserve"> </w:t>
      </w:r>
      <w:proofErr w:type="gramStart"/>
      <w:r w:rsidRPr="006D2B2D">
        <w:rPr>
          <w:lang w:val="en-US"/>
        </w:rPr>
        <w:t>Com. (2000) 1 def., § 2.</w:t>
      </w:r>
      <w:proofErr w:type="gramEnd"/>
    </w:p>
  </w:footnote>
  <w:footnote w:id="16">
    <w:p w14:paraId="176962C7" w14:textId="5093C8DE" w:rsidR="00CD6AA0" w:rsidRPr="006D2B2D" w:rsidRDefault="00CD6AA0" w:rsidP="00FE492D">
      <w:pPr>
        <w:pStyle w:val="Testonotaapidipagina"/>
        <w:spacing w:before="120"/>
      </w:pPr>
      <w:r w:rsidRPr="006D2B2D">
        <w:rPr>
          <w:rStyle w:val="Rimandonotaapidipagina"/>
        </w:rPr>
        <w:footnoteRef/>
      </w:r>
      <w:r w:rsidRPr="006D2B2D">
        <w:t xml:space="preserve"> </w:t>
      </w:r>
      <w:proofErr w:type="spellStart"/>
      <w:r w:rsidRPr="006D2B2D">
        <w:t>Com</w:t>
      </w:r>
      <w:proofErr w:type="spellEnd"/>
      <w:r w:rsidRPr="006D2B2D">
        <w:t xml:space="preserve">. (2000) 1 </w:t>
      </w:r>
      <w:proofErr w:type="spellStart"/>
      <w:proofErr w:type="gramStart"/>
      <w:r w:rsidRPr="006D2B2D">
        <w:t>def</w:t>
      </w:r>
      <w:proofErr w:type="spellEnd"/>
      <w:r w:rsidRPr="006D2B2D">
        <w:t>.</w:t>
      </w:r>
      <w:proofErr w:type="gramEnd"/>
      <w:r w:rsidRPr="006D2B2D">
        <w:t>, § 6.1.</w:t>
      </w:r>
    </w:p>
  </w:footnote>
  <w:footnote w:id="17">
    <w:p w14:paraId="56D0D633" w14:textId="1F2C0E8B" w:rsidR="00CD6AA0" w:rsidRPr="006D2B2D" w:rsidRDefault="00CD6AA0" w:rsidP="00FE492D">
      <w:pPr>
        <w:pStyle w:val="Testonotaapidipagina"/>
        <w:spacing w:before="120"/>
        <w:jc w:val="both"/>
      </w:pPr>
      <w:r w:rsidRPr="006D2B2D">
        <w:rPr>
          <w:rStyle w:val="Rimandonotaapidipagina"/>
        </w:rPr>
        <w:footnoteRef/>
      </w:r>
      <w:r w:rsidRPr="006D2B2D">
        <w:t xml:space="preserve"> </w:t>
      </w:r>
      <w:proofErr w:type="spellStart"/>
      <w:r w:rsidRPr="006D2B2D">
        <w:t>Com</w:t>
      </w:r>
      <w:proofErr w:type="spellEnd"/>
      <w:r w:rsidRPr="006D2B2D">
        <w:t xml:space="preserve">. (2000) 1 </w:t>
      </w:r>
      <w:proofErr w:type="spellStart"/>
      <w:r w:rsidRPr="006D2B2D">
        <w:t>def</w:t>
      </w:r>
      <w:proofErr w:type="spellEnd"/>
      <w:r w:rsidRPr="006D2B2D">
        <w:t>., § 5: «</w:t>
      </w:r>
      <w:r w:rsidRPr="006D2B2D">
        <w:rPr>
          <w:i/>
        </w:rPr>
        <w:t xml:space="preserve">Il principio di precauzione nelle sue </w:t>
      </w:r>
      <w:proofErr w:type="gramStart"/>
      <w:r w:rsidRPr="006D2B2D">
        <w:rPr>
          <w:i/>
        </w:rPr>
        <w:t>componenti</w:t>
      </w:r>
      <w:proofErr w:type="gramEnd"/>
      <w:r w:rsidRPr="006D2B2D">
        <w:rPr>
          <w:i/>
        </w:rPr>
        <w:t xml:space="preserve">. L’analisi del principio di precauzione fa apparire due aspetti per loro natura distinti: (i) la decisione politica di agire o di non </w:t>
      </w:r>
      <w:proofErr w:type="gramStart"/>
      <w:r w:rsidRPr="006D2B2D">
        <w:rPr>
          <w:i/>
        </w:rPr>
        <w:t>agire</w:t>
      </w:r>
      <w:proofErr w:type="gramEnd"/>
      <w:r w:rsidRPr="006D2B2D">
        <w:rPr>
          <w:i/>
        </w:rPr>
        <w:t xml:space="preserve">, collegata ai fattori che attivano l’utilizzazione del principio di precauzione; (ii) in caso affermativo, come agire, vale a dire quali sono le misure derivanti da tale utilizzazione del principio di precauzione. Vi è una controversia sulla presa in considerazione dell’incertezza scientifica nell’analisi del rischio, e in particolare se tale presa in considerazione debba essere </w:t>
      </w:r>
      <w:proofErr w:type="gramStart"/>
      <w:r w:rsidRPr="006D2B2D">
        <w:rPr>
          <w:i/>
        </w:rPr>
        <w:t>effettuata</w:t>
      </w:r>
      <w:proofErr w:type="gramEnd"/>
      <w:r w:rsidRPr="006D2B2D">
        <w:rPr>
          <w:i/>
        </w:rPr>
        <w:t xml:space="preserve"> nella valutazione del rischio o nella gestione del rischio. Tale controversia deriva da una confusione tra una strategia di prudenza e l’applicazione del principio di precauzione. Questi due aspetti sono complementari ma non devono essere confusi. La strategia di prudenza è iscritta nella politica di valutazione dei rischi che è determinata prima di qualunque valutazione dei rischi stessi e che fa appello agli elementi descritti al punto 5.1.3. Essa fa quindi parte integralmente del parere scientifico espresso da </w:t>
      </w:r>
      <w:proofErr w:type="gramStart"/>
      <w:r w:rsidRPr="006D2B2D">
        <w:rPr>
          <w:i/>
        </w:rPr>
        <w:t>coloro che valutano</w:t>
      </w:r>
      <w:proofErr w:type="gramEnd"/>
      <w:r w:rsidRPr="006D2B2D">
        <w:rPr>
          <w:i/>
        </w:rPr>
        <w:t xml:space="preserve"> il rischio. L’applicazione del principio di precauzione appartiene, invece, alla gestione del rischio, quando l’incertezza scientifica non consente una valutazione completa di tale rischio e i responsabili ritengono che il livello prescelto di protezione dell’ambiente o della salute umana, animale o vegetale possa essere minacciato</w:t>
      </w:r>
      <w:r w:rsidRPr="006D2B2D">
        <w:t xml:space="preserve">». </w:t>
      </w:r>
    </w:p>
    <w:p w14:paraId="40FF2756" w14:textId="24B633AD" w:rsidR="00CD6AA0" w:rsidRPr="006D2B2D" w:rsidRDefault="00CD6AA0" w:rsidP="00CE260E">
      <w:pPr>
        <w:pStyle w:val="Testonotaapidipagina"/>
        <w:jc w:val="both"/>
      </w:pPr>
      <w:r w:rsidRPr="006D2B2D">
        <w:t xml:space="preserve">Sulla distinzione fra parere scientifico e potere discrezionale dell’autorità competente, si </w:t>
      </w:r>
      <w:proofErr w:type="gramStart"/>
      <w:r w:rsidRPr="006D2B2D">
        <w:t>vedano</w:t>
      </w:r>
      <w:proofErr w:type="gramEnd"/>
      <w:r w:rsidRPr="006D2B2D">
        <w:t xml:space="preserve"> la sentenza della Corte di giustizia UE, 24 novembre 1993, causa C-405/92, </w:t>
      </w:r>
      <w:proofErr w:type="spellStart"/>
      <w:r w:rsidRPr="006D2B2D">
        <w:rPr>
          <w:i/>
        </w:rPr>
        <w:t>Mondiet</w:t>
      </w:r>
      <w:proofErr w:type="spellEnd"/>
      <w:r w:rsidRPr="006D2B2D">
        <w:rPr>
          <w:i/>
        </w:rPr>
        <w:t xml:space="preserve">, </w:t>
      </w:r>
      <w:r w:rsidRPr="006D2B2D">
        <w:t xml:space="preserve">in </w:t>
      </w:r>
      <w:r w:rsidRPr="006D2B2D">
        <w:rPr>
          <w:i/>
        </w:rPr>
        <w:t>Racc</w:t>
      </w:r>
      <w:r w:rsidRPr="006D2B2D">
        <w:t xml:space="preserve">., I-6133, punto 31, e le conclusioni dell’avvocato generale </w:t>
      </w:r>
      <w:proofErr w:type="spellStart"/>
      <w:r w:rsidRPr="006D2B2D">
        <w:t>Gulmann</w:t>
      </w:r>
      <w:proofErr w:type="spellEnd"/>
      <w:r w:rsidRPr="006D2B2D">
        <w:t xml:space="preserve"> in tale causa, paragrafo 28.</w:t>
      </w:r>
    </w:p>
  </w:footnote>
  <w:footnote w:id="18">
    <w:p w14:paraId="1794ED2E" w14:textId="7546B281" w:rsidR="00CD6AA0" w:rsidRPr="006D2B2D" w:rsidRDefault="00CD6AA0" w:rsidP="00FE492D">
      <w:pPr>
        <w:pStyle w:val="Testonotaapidipagina"/>
        <w:spacing w:before="120"/>
        <w:jc w:val="both"/>
      </w:pPr>
      <w:r w:rsidRPr="006D2B2D">
        <w:rPr>
          <w:rStyle w:val="Rimandonotaapidipagina"/>
        </w:rPr>
        <w:footnoteRef/>
      </w:r>
      <w:r w:rsidRPr="006D2B2D">
        <w:t xml:space="preserve"> </w:t>
      </w:r>
      <w:proofErr w:type="spellStart"/>
      <w:r w:rsidRPr="006D2B2D">
        <w:t>Com</w:t>
      </w:r>
      <w:proofErr w:type="spellEnd"/>
      <w:r w:rsidRPr="006D2B2D">
        <w:t xml:space="preserve">. (2000) 1 </w:t>
      </w:r>
      <w:proofErr w:type="spellStart"/>
      <w:proofErr w:type="gramStart"/>
      <w:r w:rsidRPr="006D2B2D">
        <w:t>def</w:t>
      </w:r>
      <w:proofErr w:type="spellEnd"/>
      <w:r w:rsidRPr="006D2B2D">
        <w:t>.</w:t>
      </w:r>
      <w:proofErr w:type="gramEnd"/>
      <w:r w:rsidRPr="006D2B2D">
        <w:t>, §5.1.1: «</w:t>
      </w:r>
      <w:r w:rsidRPr="006D2B2D">
        <w:rPr>
          <w:i/>
        </w:rPr>
        <w:t xml:space="preserve">Una valutazione di dati scientifici relativi ai rischi è un elemento necessario per ricorrere al principio di precauzione. Un altro elemento precede tuttavia logicamente e cronologicamente tale valutazione, vale a dire l’identificazione di effetti potenzialmente negativi derivanti da un fenomeno. Per avere una migliore percezione di tali effetti, </w:t>
      </w:r>
      <w:proofErr w:type="gramStart"/>
      <w:r w:rsidRPr="006D2B2D">
        <w:rPr>
          <w:i/>
        </w:rPr>
        <w:t>risulta</w:t>
      </w:r>
      <w:proofErr w:type="gramEnd"/>
      <w:r w:rsidRPr="006D2B2D">
        <w:rPr>
          <w:i/>
        </w:rPr>
        <w:t xml:space="preserve"> necessario procedere ad una valutazione scientifica. La decisione di </w:t>
      </w:r>
      <w:proofErr w:type="gramStart"/>
      <w:r w:rsidRPr="006D2B2D">
        <w:rPr>
          <w:i/>
        </w:rPr>
        <w:t>effettuare</w:t>
      </w:r>
      <w:proofErr w:type="gramEnd"/>
      <w:r w:rsidRPr="006D2B2D">
        <w:rPr>
          <w:i/>
        </w:rPr>
        <w:t xml:space="preserve"> tale valutazione senza aspettare nuove informazioni è collegata ad una percezione meno teorica e più concreta del rischio</w:t>
      </w:r>
      <w:r w:rsidRPr="006D2B2D">
        <w:t>».</w:t>
      </w:r>
    </w:p>
  </w:footnote>
  <w:footnote w:id="19">
    <w:p w14:paraId="475BB682" w14:textId="3BC97E96" w:rsidR="00CD6AA0" w:rsidRPr="006D2B2D" w:rsidRDefault="00CD6AA0" w:rsidP="00FE492D">
      <w:pPr>
        <w:pStyle w:val="Testonotaapidipagina"/>
        <w:spacing w:before="120"/>
        <w:jc w:val="both"/>
      </w:pPr>
      <w:r w:rsidRPr="006D2B2D">
        <w:rPr>
          <w:rStyle w:val="Rimandonotaapidipagina"/>
        </w:rPr>
        <w:footnoteRef/>
      </w:r>
      <w:r w:rsidRPr="006D2B2D">
        <w:t xml:space="preserve"> </w:t>
      </w:r>
      <w:proofErr w:type="spellStart"/>
      <w:r w:rsidRPr="006D2B2D">
        <w:t>Com</w:t>
      </w:r>
      <w:proofErr w:type="spellEnd"/>
      <w:r w:rsidRPr="006D2B2D">
        <w:t xml:space="preserve">. (2000) 1 </w:t>
      </w:r>
      <w:proofErr w:type="spellStart"/>
      <w:proofErr w:type="gramStart"/>
      <w:r w:rsidRPr="006D2B2D">
        <w:t>def</w:t>
      </w:r>
      <w:proofErr w:type="spellEnd"/>
      <w:r w:rsidRPr="006D2B2D">
        <w:t>.</w:t>
      </w:r>
      <w:proofErr w:type="gramEnd"/>
      <w:r w:rsidRPr="006D2B2D">
        <w:t>, § 5.1.2.: «</w:t>
      </w:r>
      <w:r w:rsidRPr="006D2B2D">
        <w:rPr>
          <w:i/>
        </w:rPr>
        <w:t xml:space="preserve">Una valutazione scientifica degli effetti potenzialmente negativi dovrebbe essere adottata sulla base dei dati disponibili nel momento in cui si considera se siano necessarie misure volte a proteggere l’ambiente e la salute umana, animale o vegetale. Una valutazione del rischio dovrebbe essere realizzata laddove sia possibile al momento di decidere se invocare o no il principio di precauzione. Ciò richiede dati scientifici affidabili e un ragionamento rigorosamente logico che porti </w:t>
      </w:r>
      <w:proofErr w:type="gramStart"/>
      <w:r w:rsidRPr="006D2B2D">
        <w:rPr>
          <w:i/>
        </w:rPr>
        <w:t>ad</w:t>
      </w:r>
      <w:proofErr w:type="gramEnd"/>
      <w:r w:rsidRPr="006D2B2D">
        <w:rPr>
          <w:i/>
        </w:rPr>
        <w:t xml:space="preserve"> una conclusione la quale esprima la possibilità del verificarsi e l’eventuale gravità del pericolo sull’ambiente o sulla salute di una popolazione data, compresa la portata dei possibili danni, la persistenza, la reversibilità e gli effetti ritardati. Non è tuttavia possibile portare a compimento in tutti i </w:t>
      </w:r>
      <w:proofErr w:type="gramStart"/>
      <w:r w:rsidRPr="006D2B2D">
        <w:rPr>
          <w:i/>
        </w:rPr>
        <w:t>casi una</w:t>
      </w:r>
      <w:proofErr w:type="gramEnd"/>
      <w:r w:rsidRPr="006D2B2D">
        <w:rPr>
          <w:i/>
        </w:rPr>
        <w:t xml:space="preserve"> valutazione completa dei rischi, ma dovrebbero essere compiuti tutti gli sforzi possibili per valutare le informazioni scientifiche disponibili</w:t>
      </w:r>
      <w:r w:rsidRPr="006D2B2D">
        <w:t>».</w:t>
      </w:r>
    </w:p>
  </w:footnote>
  <w:footnote w:id="20">
    <w:p w14:paraId="247566EE" w14:textId="77777777" w:rsidR="00CD6AA0" w:rsidRPr="006D2B2D" w:rsidRDefault="00CD6AA0" w:rsidP="00FE492D">
      <w:pPr>
        <w:pStyle w:val="Testonotaapidipagina"/>
        <w:spacing w:before="120"/>
      </w:pPr>
      <w:r w:rsidRPr="006D2B2D">
        <w:rPr>
          <w:rStyle w:val="Rimandonotaapidipagina"/>
        </w:rPr>
        <w:footnoteRef/>
      </w:r>
      <w:r w:rsidRPr="006D2B2D">
        <w:t xml:space="preserve"> </w:t>
      </w:r>
      <w:proofErr w:type="spellStart"/>
      <w:r w:rsidRPr="006D2B2D">
        <w:t>Com</w:t>
      </w:r>
      <w:proofErr w:type="spellEnd"/>
      <w:r w:rsidRPr="006D2B2D">
        <w:t xml:space="preserve">. (2000) 1 </w:t>
      </w:r>
      <w:proofErr w:type="spellStart"/>
      <w:proofErr w:type="gramStart"/>
      <w:r w:rsidRPr="006D2B2D">
        <w:t>def</w:t>
      </w:r>
      <w:proofErr w:type="spellEnd"/>
      <w:r w:rsidRPr="006D2B2D">
        <w:t>.</w:t>
      </w:r>
      <w:proofErr w:type="gramEnd"/>
      <w:r w:rsidRPr="006D2B2D">
        <w:t>, § 5.1.3.</w:t>
      </w:r>
    </w:p>
  </w:footnote>
  <w:footnote w:id="21">
    <w:p w14:paraId="46FA79CC" w14:textId="77777777" w:rsidR="00CD6AA0" w:rsidRPr="006D2B2D" w:rsidRDefault="00CD6AA0" w:rsidP="00FE492D">
      <w:pPr>
        <w:pStyle w:val="Testonotaapidipagina"/>
        <w:spacing w:before="120"/>
      </w:pPr>
      <w:r w:rsidRPr="006D2B2D">
        <w:rPr>
          <w:rStyle w:val="Rimandonotaapidipagina"/>
        </w:rPr>
        <w:footnoteRef/>
      </w:r>
      <w:r w:rsidRPr="006D2B2D">
        <w:t xml:space="preserve"> </w:t>
      </w:r>
      <w:proofErr w:type="spellStart"/>
      <w:r w:rsidRPr="006D2B2D">
        <w:t>Com</w:t>
      </w:r>
      <w:proofErr w:type="spellEnd"/>
      <w:r w:rsidRPr="006D2B2D">
        <w:t xml:space="preserve">. (2000) 1 </w:t>
      </w:r>
      <w:proofErr w:type="spellStart"/>
      <w:proofErr w:type="gramStart"/>
      <w:r w:rsidRPr="006D2B2D">
        <w:t>def</w:t>
      </w:r>
      <w:proofErr w:type="spellEnd"/>
      <w:r w:rsidRPr="006D2B2D">
        <w:t>.</w:t>
      </w:r>
      <w:proofErr w:type="gramEnd"/>
      <w:r w:rsidRPr="006D2B2D">
        <w:t>, § 6.2.</w:t>
      </w:r>
    </w:p>
  </w:footnote>
  <w:footnote w:id="22">
    <w:p w14:paraId="121F6FF0" w14:textId="77777777" w:rsidR="00CD6AA0" w:rsidRPr="006D2B2D" w:rsidRDefault="00CD6AA0" w:rsidP="00FE492D">
      <w:pPr>
        <w:pStyle w:val="Testonotaapidipagina"/>
        <w:spacing w:before="120"/>
      </w:pPr>
      <w:r w:rsidRPr="006D2B2D">
        <w:rPr>
          <w:rStyle w:val="Rimandonotaapidipagina"/>
        </w:rPr>
        <w:footnoteRef/>
      </w:r>
      <w:r w:rsidRPr="006D2B2D">
        <w:t xml:space="preserve"> </w:t>
      </w:r>
      <w:proofErr w:type="spellStart"/>
      <w:r w:rsidRPr="006D2B2D">
        <w:t>Com</w:t>
      </w:r>
      <w:proofErr w:type="spellEnd"/>
      <w:r w:rsidRPr="006D2B2D">
        <w:t xml:space="preserve">. (2000) 1 </w:t>
      </w:r>
      <w:proofErr w:type="spellStart"/>
      <w:proofErr w:type="gramStart"/>
      <w:r w:rsidRPr="006D2B2D">
        <w:t>def</w:t>
      </w:r>
      <w:proofErr w:type="spellEnd"/>
      <w:r w:rsidRPr="006D2B2D">
        <w:t>.</w:t>
      </w:r>
      <w:proofErr w:type="gramEnd"/>
      <w:r w:rsidRPr="006D2B2D">
        <w:t>, § 6.3.</w:t>
      </w:r>
    </w:p>
  </w:footnote>
  <w:footnote w:id="23">
    <w:p w14:paraId="5B160215" w14:textId="1FD78281" w:rsidR="00CD6AA0" w:rsidRPr="006D2B2D" w:rsidRDefault="00CD6AA0" w:rsidP="00FE492D">
      <w:pPr>
        <w:pStyle w:val="Testonotaapidipagina"/>
        <w:spacing w:before="120"/>
        <w:jc w:val="both"/>
      </w:pPr>
      <w:r w:rsidRPr="006D2B2D">
        <w:rPr>
          <w:rStyle w:val="Rimandonotaapidipagina"/>
        </w:rPr>
        <w:footnoteRef/>
      </w:r>
      <w:r w:rsidRPr="006D2B2D">
        <w:t xml:space="preserve"> </w:t>
      </w:r>
      <w:proofErr w:type="gramStart"/>
      <w:r w:rsidRPr="006D2B2D">
        <w:t xml:space="preserve">Come </w:t>
      </w:r>
      <w:proofErr w:type="gramEnd"/>
      <w:r w:rsidRPr="006D2B2D">
        <w:t xml:space="preserve">è noto, il principio di proporzionalità trova la propria origine nel diritto tedesco per espandersi progressivamente in altri ordinamenti nazionali per effetto della penetrazione del diritto comunitario e della giurisprudenza della Corte di giustizia che vi ha fatto ricorso sin dalla sentenza 16 luglio 1956, in causa 8/55, </w:t>
      </w:r>
      <w:proofErr w:type="spellStart"/>
      <w:r w:rsidRPr="006D2B2D">
        <w:rPr>
          <w:i/>
          <w:iCs/>
        </w:rPr>
        <w:t>Fédération</w:t>
      </w:r>
      <w:proofErr w:type="spellEnd"/>
      <w:r w:rsidRPr="006D2B2D">
        <w:rPr>
          <w:i/>
          <w:iCs/>
        </w:rPr>
        <w:t xml:space="preserve"> </w:t>
      </w:r>
      <w:proofErr w:type="spellStart"/>
      <w:r w:rsidRPr="006D2B2D">
        <w:rPr>
          <w:i/>
          <w:iCs/>
        </w:rPr>
        <w:t>Charbonnière</w:t>
      </w:r>
      <w:proofErr w:type="spellEnd"/>
      <w:r w:rsidRPr="006D2B2D">
        <w:t xml:space="preserve">, in </w:t>
      </w:r>
      <w:r w:rsidRPr="006D2B2D">
        <w:rPr>
          <w:i/>
          <w:iCs/>
        </w:rPr>
        <w:t>Racc.</w:t>
      </w:r>
      <w:r w:rsidRPr="006D2B2D">
        <w:t xml:space="preserve">, 1955-56, 197 ss. Sul principio di proporzionalità si veda, nell’ambito di una vasta bibliografia, </w:t>
      </w:r>
      <w:r w:rsidRPr="006D2B2D">
        <w:rPr>
          <w:smallCaps/>
        </w:rPr>
        <w:t xml:space="preserve">A. </w:t>
      </w:r>
      <w:proofErr w:type="spellStart"/>
      <w:r w:rsidRPr="006D2B2D">
        <w:rPr>
          <w:smallCaps/>
        </w:rPr>
        <w:t>Sandulli</w:t>
      </w:r>
      <w:proofErr w:type="spellEnd"/>
      <w:r w:rsidRPr="006D2B2D">
        <w:t xml:space="preserve">, </w:t>
      </w:r>
      <w:r w:rsidRPr="006D2B2D">
        <w:rPr>
          <w:i/>
          <w:iCs/>
        </w:rPr>
        <w:t>La proporzionalità dell’azione amministrativa</w:t>
      </w:r>
      <w:r w:rsidRPr="006D2B2D">
        <w:t xml:space="preserve">, Padova, 1998; </w:t>
      </w:r>
      <w:proofErr w:type="gramStart"/>
      <w:r w:rsidRPr="006D2B2D">
        <w:rPr>
          <w:smallCaps/>
        </w:rPr>
        <w:t>Id.</w:t>
      </w:r>
      <w:proofErr w:type="gramEnd"/>
      <w:r w:rsidRPr="006D2B2D">
        <w:t xml:space="preserve">, </w:t>
      </w:r>
      <w:r w:rsidRPr="006D2B2D">
        <w:rPr>
          <w:i/>
        </w:rPr>
        <w:t>Proporzionalità</w:t>
      </w:r>
      <w:r w:rsidRPr="006D2B2D">
        <w:t>,</w:t>
      </w:r>
      <w:r w:rsidRPr="006D2B2D">
        <w:rPr>
          <w:i/>
        </w:rPr>
        <w:t xml:space="preserve"> </w:t>
      </w:r>
      <w:r w:rsidRPr="006D2B2D">
        <w:t xml:space="preserve">in </w:t>
      </w:r>
      <w:r w:rsidRPr="006D2B2D">
        <w:rPr>
          <w:smallCaps/>
        </w:rPr>
        <w:t xml:space="preserve">S. </w:t>
      </w:r>
      <w:proofErr w:type="spellStart"/>
      <w:r w:rsidRPr="006D2B2D">
        <w:rPr>
          <w:smallCaps/>
        </w:rPr>
        <w:t>Cassese</w:t>
      </w:r>
      <w:proofErr w:type="spellEnd"/>
      <w:r w:rsidRPr="006D2B2D">
        <w:t xml:space="preserve"> (a cura di), </w:t>
      </w:r>
      <w:r w:rsidRPr="006D2B2D">
        <w:rPr>
          <w:i/>
        </w:rPr>
        <w:t>Dizionario di diritto pubblico</w:t>
      </w:r>
      <w:r w:rsidRPr="006D2B2D">
        <w:t>,</w:t>
      </w:r>
      <w:r w:rsidRPr="006D2B2D">
        <w:rPr>
          <w:i/>
        </w:rPr>
        <w:t xml:space="preserve"> </w:t>
      </w:r>
      <w:r w:rsidRPr="006D2B2D">
        <w:t xml:space="preserve">Milano, 2006, vol. V, 4643 ss.; </w:t>
      </w:r>
      <w:r w:rsidRPr="006D2B2D">
        <w:rPr>
          <w:smallCaps/>
        </w:rPr>
        <w:t xml:space="preserve">D.U. </w:t>
      </w:r>
      <w:proofErr w:type="spellStart"/>
      <w:r w:rsidRPr="006D2B2D">
        <w:rPr>
          <w:smallCaps/>
        </w:rPr>
        <w:t>Galetta</w:t>
      </w:r>
      <w:proofErr w:type="spellEnd"/>
      <w:r w:rsidRPr="006D2B2D">
        <w:t xml:space="preserve">, </w:t>
      </w:r>
      <w:r w:rsidRPr="006D2B2D">
        <w:rPr>
          <w:i/>
          <w:iCs/>
        </w:rPr>
        <w:t>Principio di proporzionalità e sindacato giurisdizionale nel diritto amministrativo</w:t>
      </w:r>
      <w:r w:rsidRPr="006D2B2D">
        <w:t xml:space="preserve">, Milano, 1998; </w:t>
      </w:r>
      <w:r w:rsidRPr="006D2B2D">
        <w:rPr>
          <w:smallCaps/>
        </w:rPr>
        <w:t>Id</w:t>
      </w:r>
      <w:r w:rsidRPr="006D2B2D">
        <w:t xml:space="preserve">., </w:t>
      </w:r>
      <w:r w:rsidRPr="006D2B2D">
        <w:rPr>
          <w:i/>
          <w:iCs/>
        </w:rPr>
        <w:t>Il principio di proporzionalità comunitario e il suo effetto di «</w:t>
      </w:r>
      <w:proofErr w:type="spellStart"/>
      <w:r w:rsidRPr="006D2B2D">
        <w:rPr>
          <w:i/>
          <w:iCs/>
        </w:rPr>
        <w:t>spill</w:t>
      </w:r>
      <w:proofErr w:type="spellEnd"/>
      <w:r w:rsidRPr="006D2B2D">
        <w:rPr>
          <w:i/>
          <w:iCs/>
        </w:rPr>
        <w:t xml:space="preserve"> over» negli ordinamenti nazionali</w:t>
      </w:r>
      <w:r w:rsidRPr="006D2B2D">
        <w:t xml:space="preserve">, in </w:t>
      </w:r>
      <w:r w:rsidRPr="006D2B2D">
        <w:rPr>
          <w:i/>
          <w:iCs/>
        </w:rPr>
        <w:t>Nuove aut.</w:t>
      </w:r>
      <w:r w:rsidRPr="006D2B2D">
        <w:t xml:space="preserve">, 2005, 541 ss.; </w:t>
      </w:r>
      <w:r w:rsidRPr="006D2B2D">
        <w:rPr>
          <w:smallCaps/>
        </w:rPr>
        <w:t>Id</w:t>
      </w:r>
      <w:r w:rsidRPr="006D2B2D">
        <w:t xml:space="preserve">., </w:t>
      </w:r>
      <w:r w:rsidRPr="006D2B2D">
        <w:rPr>
          <w:i/>
        </w:rPr>
        <w:t>La proporzionalità quale principio generale dell’ordinamento</w:t>
      </w:r>
      <w:r w:rsidRPr="006D2B2D">
        <w:t>,</w:t>
      </w:r>
      <w:r w:rsidRPr="006D2B2D">
        <w:rPr>
          <w:i/>
        </w:rPr>
        <w:t xml:space="preserve"> </w:t>
      </w:r>
      <w:r w:rsidRPr="006D2B2D">
        <w:t xml:space="preserve">in </w:t>
      </w:r>
      <w:proofErr w:type="spellStart"/>
      <w:r w:rsidRPr="006D2B2D">
        <w:rPr>
          <w:i/>
        </w:rPr>
        <w:t>Giorn</w:t>
      </w:r>
      <w:proofErr w:type="spellEnd"/>
      <w:r w:rsidRPr="006D2B2D">
        <w:rPr>
          <w:i/>
        </w:rPr>
        <w:t xml:space="preserve">. dir. </w:t>
      </w:r>
      <w:proofErr w:type="spellStart"/>
      <w:proofErr w:type="gramStart"/>
      <w:r w:rsidRPr="006D2B2D">
        <w:rPr>
          <w:i/>
        </w:rPr>
        <w:t>amm</w:t>
      </w:r>
      <w:proofErr w:type="spellEnd"/>
      <w:r w:rsidRPr="006D2B2D">
        <w:rPr>
          <w:i/>
        </w:rPr>
        <w:t>.</w:t>
      </w:r>
      <w:proofErr w:type="gramEnd"/>
      <w:r w:rsidRPr="006D2B2D">
        <w:t>,</w:t>
      </w:r>
      <w:r w:rsidRPr="006D2B2D">
        <w:rPr>
          <w:i/>
        </w:rPr>
        <w:t xml:space="preserve"> </w:t>
      </w:r>
      <w:r w:rsidRPr="006D2B2D">
        <w:t xml:space="preserve">2006, 1007 ss.; </w:t>
      </w:r>
      <w:r w:rsidRPr="006D2B2D">
        <w:rPr>
          <w:smallCaps/>
        </w:rPr>
        <w:t>Id</w:t>
      </w:r>
      <w:r w:rsidRPr="006D2B2D">
        <w:t xml:space="preserve">, </w:t>
      </w:r>
      <w:r w:rsidRPr="006D2B2D">
        <w:rPr>
          <w:i/>
          <w:iCs/>
        </w:rPr>
        <w:t>Il principio di proporzionalità</w:t>
      </w:r>
      <w:r w:rsidRPr="006D2B2D">
        <w:t xml:space="preserve">, in </w:t>
      </w:r>
      <w:r w:rsidRPr="006D2B2D">
        <w:rPr>
          <w:smallCaps/>
        </w:rPr>
        <w:t xml:space="preserve">M. Renna - F. </w:t>
      </w:r>
      <w:proofErr w:type="spellStart"/>
      <w:r w:rsidRPr="006D2B2D">
        <w:rPr>
          <w:smallCaps/>
        </w:rPr>
        <w:t>Saitta</w:t>
      </w:r>
      <w:proofErr w:type="spellEnd"/>
      <w:r w:rsidRPr="006D2B2D">
        <w:rPr>
          <w:smallCaps/>
        </w:rPr>
        <w:t xml:space="preserve"> </w:t>
      </w:r>
      <w:r w:rsidRPr="006D2B2D">
        <w:t xml:space="preserve">(a cura di), </w:t>
      </w:r>
      <w:r w:rsidRPr="006D2B2D">
        <w:rPr>
          <w:i/>
          <w:iCs/>
        </w:rPr>
        <w:t>Studi sui princìpi del diritto amministrativo</w:t>
      </w:r>
      <w:r w:rsidRPr="006D2B2D">
        <w:t xml:space="preserve">, Milano, 2012, 389 ss.; </w:t>
      </w:r>
      <w:r w:rsidRPr="006D2B2D">
        <w:rPr>
          <w:smallCaps/>
        </w:rPr>
        <w:t>G.F. Ferrari</w:t>
      </w:r>
      <w:r w:rsidRPr="006D2B2D">
        <w:t xml:space="preserve">, </w:t>
      </w:r>
      <w:r w:rsidRPr="006D2B2D">
        <w:rPr>
          <w:i/>
          <w:iCs/>
        </w:rPr>
        <w:t>Il principio di proporzionalità</w:t>
      </w:r>
      <w:r w:rsidRPr="006D2B2D">
        <w:t xml:space="preserve">, in </w:t>
      </w:r>
      <w:r w:rsidRPr="006D2B2D">
        <w:rPr>
          <w:smallCaps/>
        </w:rPr>
        <w:t>V. Parisio</w:t>
      </w:r>
      <w:r w:rsidRPr="006D2B2D">
        <w:t xml:space="preserve"> (a cura di), </w:t>
      </w:r>
      <w:r w:rsidRPr="006D2B2D">
        <w:rPr>
          <w:i/>
          <w:iCs/>
        </w:rPr>
        <w:t>Potere discrezionale e controllo giudiziario</w:t>
      </w:r>
      <w:r w:rsidRPr="006D2B2D">
        <w:t xml:space="preserve">, Milano, 1998, 125 ss.; </w:t>
      </w:r>
      <w:r w:rsidRPr="006D2B2D">
        <w:rPr>
          <w:smallCaps/>
        </w:rPr>
        <w:t>C. Malinconico</w:t>
      </w:r>
      <w:r w:rsidRPr="006D2B2D">
        <w:t xml:space="preserve">, </w:t>
      </w:r>
      <w:r w:rsidRPr="006D2B2D">
        <w:rPr>
          <w:i/>
          <w:iCs/>
        </w:rPr>
        <w:t>Il principio di proporzionalità</w:t>
      </w:r>
      <w:r w:rsidRPr="006D2B2D">
        <w:t xml:space="preserve">, in AA.VV., </w:t>
      </w:r>
      <w:r w:rsidRPr="006D2B2D">
        <w:rPr>
          <w:i/>
          <w:iCs/>
        </w:rPr>
        <w:t>Autorità e consenso nell’attività amministrativa</w:t>
      </w:r>
      <w:r w:rsidRPr="006D2B2D">
        <w:rPr>
          <w:iCs/>
        </w:rPr>
        <w:t>.</w:t>
      </w:r>
      <w:r w:rsidRPr="006D2B2D">
        <w:rPr>
          <w:i/>
          <w:iCs/>
        </w:rPr>
        <w:t xml:space="preserve"> Atti del XLVII Convegno di Scienza dell’Amministrazione (Varenna, Villa Monastero, 20-22settembre 2001)</w:t>
      </w:r>
      <w:r w:rsidRPr="006D2B2D">
        <w:t xml:space="preserve">, Milano, 2002, 49 </w:t>
      </w:r>
      <w:proofErr w:type="gramStart"/>
      <w:r w:rsidRPr="006D2B2D">
        <w:t>ss.</w:t>
      </w:r>
      <w:proofErr w:type="gramEnd"/>
      <w:r w:rsidRPr="006D2B2D">
        <w:t xml:space="preserve">; </w:t>
      </w:r>
      <w:r w:rsidRPr="006D2B2D">
        <w:rPr>
          <w:smallCaps/>
        </w:rPr>
        <w:t>V. Parisio</w:t>
      </w:r>
      <w:r w:rsidRPr="006D2B2D">
        <w:t xml:space="preserve">, </w:t>
      </w:r>
      <w:r w:rsidRPr="006D2B2D">
        <w:rPr>
          <w:i/>
          <w:iCs/>
        </w:rPr>
        <w:t>Principio di proporzionalità e giudice amministrativo italiano</w:t>
      </w:r>
      <w:r w:rsidRPr="006D2B2D">
        <w:t xml:space="preserve">, in </w:t>
      </w:r>
      <w:r w:rsidRPr="006D2B2D">
        <w:rPr>
          <w:i/>
          <w:iCs/>
        </w:rPr>
        <w:t>Nuove aut.</w:t>
      </w:r>
      <w:r w:rsidRPr="006D2B2D">
        <w:t xml:space="preserve">, 2006, 717 ss.; </w:t>
      </w:r>
      <w:r w:rsidRPr="006D2B2D">
        <w:rPr>
          <w:smallCaps/>
        </w:rPr>
        <w:t xml:space="preserve">S. </w:t>
      </w:r>
      <w:proofErr w:type="spellStart"/>
      <w:r w:rsidRPr="006D2B2D">
        <w:rPr>
          <w:smallCaps/>
        </w:rPr>
        <w:t>Villamena</w:t>
      </w:r>
      <w:proofErr w:type="spellEnd"/>
      <w:r w:rsidRPr="006D2B2D">
        <w:t xml:space="preserve">, </w:t>
      </w:r>
      <w:r w:rsidRPr="006D2B2D">
        <w:rPr>
          <w:i/>
          <w:iCs/>
        </w:rPr>
        <w:t xml:space="preserve">Contributo in tema di proporzionalità amministrativa. </w:t>
      </w:r>
      <w:proofErr w:type="gramStart"/>
      <w:r w:rsidRPr="006D2B2D">
        <w:rPr>
          <w:i/>
          <w:iCs/>
        </w:rPr>
        <w:t>Ordinamento italiano</w:t>
      </w:r>
      <w:r w:rsidRPr="006D2B2D">
        <w:rPr>
          <w:iCs/>
        </w:rPr>
        <w:t>,</w:t>
      </w:r>
      <w:r w:rsidRPr="006D2B2D">
        <w:rPr>
          <w:i/>
          <w:iCs/>
        </w:rPr>
        <w:t xml:space="preserve"> comunitario e inglese</w:t>
      </w:r>
      <w:r w:rsidRPr="006D2B2D">
        <w:t>, Milano, 2008;</w:t>
      </w:r>
      <w:r w:rsidRPr="006D2B2D">
        <w:rPr>
          <w:smallCaps/>
        </w:rPr>
        <w:t xml:space="preserve"> S. Cognetti</w:t>
      </w:r>
      <w:r w:rsidRPr="006D2B2D">
        <w:t xml:space="preserve">, </w:t>
      </w:r>
      <w:r w:rsidRPr="006D2B2D">
        <w:rPr>
          <w:i/>
          <w:iCs/>
        </w:rPr>
        <w:t>Principio di proporzionalità</w:t>
      </w:r>
      <w:proofErr w:type="gramEnd"/>
      <w:r w:rsidRPr="006D2B2D">
        <w:rPr>
          <w:i/>
          <w:iCs/>
        </w:rPr>
        <w:t>. Profili di teoria generale e di analisi sistematica</w:t>
      </w:r>
      <w:r w:rsidRPr="006D2B2D">
        <w:t xml:space="preserve">, Torino, 2011. Con specifico riguardo all’applicazione del principio nel diritto comunitario, cfr. </w:t>
      </w:r>
      <w:proofErr w:type="gramStart"/>
      <w:r w:rsidRPr="006D2B2D">
        <w:rPr>
          <w:smallCaps/>
        </w:rPr>
        <w:t>D.U.</w:t>
      </w:r>
      <w:proofErr w:type="gramEnd"/>
      <w:r w:rsidRPr="006D2B2D">
        <w:rPr>
          <w:smallCaps/>
        </w:rPr>
        <w:t xml:space="preserve"> </w:t>
      </w:r>
      <w:proofErr w:type="spellStart"/>
      <w:r w:rsidRPr="006D2B2D">
        <w:rPr>
          <w:smallCaps/>
        </w:rPr>
        <w:t>Galetta</w:t>
      </w:r>
      <w:proofErr w:type="spellEnd"/>
      <w:r w:rsidRPr="006D2B2D">
        <w:t xml:space="preserve">, </w:t>
      </w:r>
      <w:r w:rsidRPr="006D2B2D">
        <w:rPr>
          <w:i/>
        </w:rPr>
        <w:t>Il principio di proporzionalità nella giurisprudenza comunitaria</w:t>
      </w:r>
      <w:r w:rsidRPr="006D2B2D">
        <w:t>,</w:t>
      </w:r>
      <w:r w:rsidRPr="006D2B2D">
        <w:rPr>
          <w:i/>
        </w:rPr>
        <w:t xml:space="preserve"> </w:t>
      </w:r>
      <w:r w:rsidRPr="006D2B2D">
        <w:t xml:space="preserve">in </w:t>
      </w:r>
      <w:proofErr w:type="spellStart"/>
      <w:r w:rsidRPr="006D2B2D">
        <w:rPr>
          <w:i/>
        </w:rPr>
        <w:t>Riv</w:t>
      </w:r>
      <w:proofErr w:type="spellEnd"/>
      <w:r w:rsidRPr="006D2B2D">
        <w:rPr>
          <w:i/>
        </w:rPr>
        <w:t xml:space="preserve">. </w:t>
      </w:r>
      <w:proofErr w:type="spellStart"/>
      <w:r w:rsidRPr="006D2B2D">
        <w:rPr>
          <w:i/>
        </w:rPr>
        <w:t>it</w:t>
      </w:r>
      <w:proofErr w:type="spellEnd"/>
      <w:r w:rsidRPr="006D2B2D">
        <w:rPr>
          <w:i/>
        </w:rPr>
        <w:t xml:space="preserve">. dir. </w:t>
      </w:r>
      <w:proofErr w:type="spellStart"/>
      <w:proofErr w:type="gramStart"/>
      <w:r w:rsidRPr="006D2B2D">
        <w:rPr>
          <w:i/>
        </w:rPr>
        <w:t>pubbl</w:t>
      </w:r>
      <w:proofErr w:type="spellEnd"/>
      <w:r w:rsidRPr="006D2B2D">
        <w:rPr>
          <w:i/>
        </w:rPr>
        <w:t>.</w:t>
      </w:r>
      <w:proofErr w:type="gramEnd"/>
      <w:r w:rsidRPr="006D2B2D">
        <w:rPr>
          <w:i/>
        </w:rPr>
        <w:t xml:space="preserve"> comun.</w:t>
      </w:r>
      <w:r w:rsidRPr="006D2B2D">
        <w:t>,</w:t>
      </w:r>
      <w:r w:rsidRPr="006D2B2D">
        <w:rPr>
          <w:i/>
        </w:rPr>
        <w:t xml:space="preserve"> </w:t>
      </w:r>
      <w:r w:rsidRPr="006D2B2D">
        <w:t xml:space="preserve">1993, 833 ss.; </w:t>
      </w:r>
      <w:r w:rsidRPr="006D2B2D">
        <w:rPr>
          <w:smallCaps/>
        </w:rPr>
        <w:t xml:space="preserve">M.C. </w:t>
      </w:r>
      <w:proofErr w:type="spellStart"/>
      <w:r w:rsidRPr="006D2B2D">
        <w:rPr>
          <w:smallCaps/>
        </w:rPr>
        <w:t>Ciciriello</w:t>
      </w:r>
      <w:proofErr w:type="spellEnd"/>
      <w:r w:rsidRPr="006D2B2D">
        <w:t xml:space="preserve">, </w:t>
      </w:r>
      <w:r w:rsidRPr="006D2B2D">
        <w:rPr>
          <w:i/>
          <w:iCs/>
        </w:rPr>
        <w:t>Il principio di proporzionalità nel diritto comunitario</w:t>
      </w:r>
      <w:r w:rsidRPr="006D2B2D">
        <w:t>, Napoli, 1999;</w:t>
      </w:r>
      <w:r w:rsidRPr="006D2B2D">
        <w:rPr>
          <w:smallCaps/>
        </w:rPr>
        <w:t xml:space="preserve"> N. </w:t>
      </w:r>
      <w:proofErr w:type="spellStart"/>
      <w:r w:rsidRPr="006D2B2D">
        <w:rPr>
          <w:smallCaps/>
        </w:rPr>
        <w:t>Emiliou</w:t>
      </w:r>
      <w:proofErr w:type="spellEnd"/>
      <w:r w:rsidRPr="006D2B2D">
        <w:t xml:space="preserve">, </w:t>
      </w:r>
      <w:r w:rsidRPr="006D2B2D">
        <w:rPr>
          <w:i/>
          <w:iCs/>
        </w:rPr>
        <w:t xml:space="preserve">The </w:t>
      </w:r>
      <w:proofErr w:type="spellStart"/>
      <w:r w:rsidRPr="006D2B2D">
        <w:rPr>
          <w:i/>
          <w:iCs/>
        </w:rPr>
        <w:t>Principle</w:t>
      </w:r>
      <w:proofErr w:type="spellEnd"/>
      <w:r w:rsidRPr="006D2B2D">
        <w:rPr>
          <w:i/>
          <w:iCs/>
        </w:rPr>
        <w:t xml:space="preserve"> of </w:t>
      </w:r>
      <w:proofErr w:type="spellStart"/>
      <w:r w:rsidRPr="006D2B2D">
        <w:rPr>
          <w:i/>
          <w:iCs/>
        </w:rPr>
        <w:t>Proportionality</w:t>
      </w:r>
      <w:proofErr w:type="spellEnd"/>
      <w:r w:rsidRPr="006D2B2D">
        <w:rPr>
          <w:i/>
          <w:iCs/>
        </w:rPr>
        <w:t xml:space="preserve"> in </w:t>
      </w:r>
      <w:proofErr w:type="spellStart"/>
      <w:r w:rsidRPr="006D2B2D">
        <w:rPr>
          <w:i/>
          <w:iCs/>
        </w:rPr>
        <w:t>European</w:t>
      </w:r>
      <w:proofErr w:type="spellEnd"/>
      <w:r w:rsidRPr="006D2B2D">
        <w:rPr>
          <w:i/>
          <w:iCs/>
        </w:rPr>
        <w:t xml:space="preserve"> Law</w:t>
      </w:r>
      <w:r w:rsidRPr="006D2B2D">
        <w:t xml:space="preserve">, </w:t>
      </w:r>
      <w:proofErr w:type="spellStart"/>
      <w:r w:rsidRPr="006D2B2D">
        <w:t>London</w:t>
      </w:r>
      <w:proofErr w:type="spellEnd"/>
      <w:r w:rsidRPr="006D2B2D">
        <w:t>, 1996.</w:t>
      </w:r>
    </w:p>
  </w:footnote>
  <w:footnote w:id="24">
    <w:p w14:paraId="765ACCCC" w14:textId="64546069" w:rsidR="00CD6AA0" w:rsidRPr="006D2B2D" w:rsidRDefault="00CD6AA0" w:rsidP="00FE492D">
      <w:pPr>
        <w:pStyle w:val="Testonotaapidipagina"/>
        <w:spacing w:before="120"/>
        <w:jc w:val="both"/>
      </w:pPr>
      <w:r w:rsidRPr="006D2B2D">
        <w:rPr>
          <w:rStyle w:val="Rimandonotaapidipagina"/>
        </w:rPr>
        <w:footnoteRef/>
      </w:r>
      <w:r w:rsidRPr="006D2B2D">
        <w:t xml:space="preserve"> L’art. 2 del Protocollo di attuazione della Convenzione per la protezione delle Alpi del 1991 nell’ambito dei trasporti, fatto a Lucerna il 31 ottobre 2000, ratificato con legge 9 novembre 2012 n.196, definisce il principio di precauzione come «principio secondo il quale gli interventi volti a evitare, gestire o ridurre gli effetti gravi o irreversibili sulla salute e sull’ambiente non possono essere rinviati, con la motivazione che la ricerca scientifica non abbia ancora dimostrato, in modo rigoroso, l’esistenza di un rapporto di causa-effetto </w:t>
      </w:r>
      <w:proofErr w:type="gramStart"/>
      <w:r w:rsidRPr="006D2B2D">
        <w:t>fra da</w:t>
      </w:r>
      <w:proofErr w:type="gramEnd"/>
      <w:r w:rsidRPr="006D2B2D">
        <w:t xml:space="preserve"> un lato le sostanze contemplate e dall’altro la loro potenziale nocività per la salute e l’ambiente». Si direbbe che nell’incertezza </w:t>
      </w:r>
      <w:r>
        <w:t>-</w:t>
      </w:r>
      <w:r w:rsidRPr="006D2B2D">
        <w:t>ragionevolmente distinta dalla “relativa certezza che non”</w:t>
      </w:r>
      <w:r>
        <w:t>-</w:t>
      </w:r>
      <w:r w:rsidRPr="006D2B2D">
        <w:t xml:space="preserve"> sia proprio la precauzione a trovare il suo spazio tipico. </w:t>
      </w:r>
    </w:p>
  </w:footnote>
  <w:footnote w:id="25">
    <w:p w14:paraId="146FA0E7" w14:textId="5C220014" w:rsidR="00CD6AA0" w:rsidRPr="006D2B2D" w:rsidRDefault="00CD6AA0" w:rsidP="00FE492D">
      <w:pPr>
        <w:pStyle w:val="Testonotaapidipagina"/>
        <w:spacing w:before="120"/>
      </w:pPr>
      <w:r w:rsidRPr="006D2B2D">
        <w:rPr>
          <w:rStyle w:val="Rimandonotaapidipagina"/>
        </w:rPr>
        <w:footnoteRef/>
      </w:r>
      <w:r w:rsidRPr="006D2B2D">
        <w:t xml:space="preserve"> Cons. Stato, sez. V, 27 dicembre 2013, n. 6250.</w:t>
      </w:r>
    </w:p>
  </w:footnote>
  <w:footnote w:id="26">
    <w:p w14:paraId="197C7BE3" w14:textId="1505E387" w:rsidR="00CD6AA0" w:rsidRPr="006D2B2D" w:rsidRDefault="00CD6AA0" w:rsidP="00FE492D">
      <w:pPr>
        <w:pStyle w:val="Testonotaapidipagina"/>
        <w:spacing w:before="120"/>
      </w:pPr>
      <w:r w:rsidRPr="006D2B2D">
        <w:rPr>
          <w:rStyle w:val="Rimandonotaapidipagina"/>
        </w:rPr>
        <w:footnoteRef/>
      </w:r>
      <w:r w:rsidRPr="006D2B2D">
        <w:t xml:space="preserve"> Cfr., da ultimo, </w:t>
      </w:r>
      <w:proofErr w:type="gramStart"/>
      <w:r w:rsidRPr="006D2B2D">
        <w:t>Cons</w:t>
      </w:r>
      <w:r>
        <w:t>.</w:t>
      </w:r>
      <w:proofErr w:type="gramEnd"/>
      <w:r w:rsidRPr="006D2B2D">
        <w:t xml:space="preserve"> Stato, sez.</w:t>
      </w:r>
      <w:r>
        <w:t xml:space="preserve"> III, 6 febbraio 2015, n. 605; id.</w:t>
      </w:r>
      <w:r w:rsidRPr="006D2B2D">
        <w:t>, sez. V, 10 settembre 2014, n. 4588 e 11 luglio 2014, n. 3573.</w:t>
      </w:r>
    </w:p>
  </w:footnote>
  <w:footnote w:id="27">
    <w:p w14:paraId="57A96F42" w14:textId="719AF105" w:rsidR="00CD6AA0" w:rsidRPr="006D2B2D" w:rsidRDefault="00CD6AA0" w:rsidP="00991C0E">
      <w:pPr>
        <w:pStyle w:val="Testonotaapidipagina"/>
        <w:spacing w:before="120"/>
        <w:jc w:val="both"/>
      </w:pPr>
      <w:r w:rsidRPr="006D2B2D">
        <w:rPr>
          <w:rStyle w:val="Rimandonotaapidipagina"/>
        </w:rPr>
        <w:footnoteRef/>
      </w:r>
      <w:r w:rsidRPr="006D2B2D">
        <w:t xml:space="preserve"> Cons. Stato, sez. V, 18 maggio 2015, n. 2495; </w:t>
      </w:r>
      <w:proofErr w:type="gramStart"/>
      <w:r>
        <w:t>id.</w:t>
      </w:r>
      <w:proofErr w:type="gramEnd"/>
      <w:r w:rsidRPr="006D2B2D">
        <w:t xml:space="preserve">, sez. III, 6 febbraio 2015, n. 605; </w:t>
      </w:r>
      <w:r>
        <w:t>id.</w:t>
      </w:r>
      <w:r w:rsidRPr="006D2B2D">
        <w:t xml:space="preserve">, sez. IV, 11 novembre 2014, n. 5525, in </w:t>
      </w:r>
      <w:proofErr w:type="spellStart"/>
      <w:r w:rsidRPr="006D2B2D">
        <w:rPr>
          <w:i/>
        </w:rPr>
        <w:t>Riv</w:t>
      </w:r>
      <w:proofErr w:type="spellEnd"/>
      <w:r w:rsidRPr="006D2B2D">
        <w:rPr>
          <w:i/>
        </w:rPr>
        <w:t xml:space="preserve">. giur. </w:t>
      </w:r>
      <w:proofErr w:type="spellStart"/>
      <w:r w:rsidRPr="006D2B2D">
        <w:rPr>
          <w:i/>
        </w:rPr>
        <w:t>edil</w:t>
      </w:r>
      <w:proofErr w:type="spellEnd"/>
      <w:r w:rsidRPr="006D2B2D">
        <w:rPr>
          <w:i/>
        </w:rPr>
        <w:t>.</w:t>
      </w:r>
      <w:r w:rsidRPr="006D2B2D">
        <w:t>, 2014, 1271.</w:t>
      </w:r>
    </w:p>
  </w:footnote>
  <w:footnote w:id="28">
    <w:p w14:paraId="1A1E0EDF" w14:textId="3A4A9786" w:rsidR="00CD6AA0" w:rsidRPr="006D2B2D" w:rsidRDefault="00CD6AA0" w:rsidP="00FE492D">
      <w:pPr>
        <w:pStyle w:val="Testonotaapidipagina"/>
        <w:spacing w:before="120"/>
        <w:jc w:val="both"/>
      </w:pPr>
      <w:r w:rsidRPr="006D2B2D">
        <w:rPr>
          <w:rStyle w:val="Rimandonotaapidipagina"/>
        </w:rPr>
        <w:footnoteRef/>
      </w:r>
      <w:r w:rsidRPr="006D2B2D">
        <w:t xml:space="preserve"> Secondo </w:t>
      </w:r>
      <w:proofErr w:type="gramStart"/>
      <w:r w:rsidRPr="006D2B2D">
        <w:t>Cons.</w:t>
      </w:r>
      <w:proofErr w:type="gramEnd"/>
      <w:r w:rsidRPr="006D2B2D">
        <w:t xml:space="preserve"> Stato, sez. V, 27 dicembre 2013, n. 6250, il principio è inidoneo a</w:t>
      </w:r>
      <w:r w:rsidRPr="006D2B2D">
        <w:rPr>
          <w:rFonts w:eastAsiaTheme="minorHAnsi"/>
          <w:lang w:eastAsia="en-US"/>
        </w:rPr>
        <w:t xml:space="preserve"> </w:t>
      </w:r>
      <w:r w:rsidRPr="006D2B2D">
        <w:t>costituire fondamento di «</w:t>
      </w:r>
      <w:r w:rsidRPr="00991C0E">
        <w:rPr>
          <w:i/>
        </w:rPr>
        <w:t>una interpretazione delle disposizioni normative, tecniche e amministrative vigenti in un dato settore che ne dilati il senso fino a ricomprendervi vicende non significativamente pregiudizievoli per l’area interessata; la situazione di pericolo deve essere potenziale o latente, ma non meramente ipotizzata, e deve incidere significativamente sull’ambiente e sulla salute dell’uomo</w:t>
      </w:r>
      <w:r w:rsidRPr="006D2B2D">
        <w:t>».</w:t>
      </w:r>
    </w:p>
  </w:footnote>
  <w:footnote w:id="29">
    <w:p w14:paraId="0E2D36F7" w14:textId="0DA121BD" w:rsidR="00CD6AA0" w:rsidRPr="006D2B2D" w:rsidRDefault="00CD6AA0" w:rsidP="00FE492D">
      <w:pPr>
        <w:pStyle w:val="Testonotaapidipagina"/>
        <w:spacing w:before="120"/>
      </w:pPr>
      <w:r w:rsidRPr="006D2B2D">
        <w:rPr>
          <w:rStyle w:val="Rimandonotaapidipagina"/>
        </w:rPr>
        <w:footnoteRef/>
      </w:r>
      <w:r>
        <w:t xml:space="preserve"> </w:t>
      </w:r>
      <w:r w:rsidRPr="006D2B2D">
        <w:t xml:space="preserve">Cons. Stato, sez. V, 17 dicembre 2013, n. 6250. </w:t>
      </w:r>
    </w:p>
  </w:footnote>
  <w:footnote w:id="30">
    <w:p w14:paraId="77A24CD0" w14:textId="7D8FB6AB" w:rsidR="00CD6AA0" w:rsidRPr="006D2B2D" w:rsidRDefault="00CD6AA0" w:rsidP="00FE492D">
      <w:pPr>
        <w:pStyle w:val="Testonotaapidipagina"/>
        <w:spacing w:before="120"/>
        <w:jc w:val="both"/>
      </w:pPr>
      <w:r w:rsidRPr="006D2B2D">
        <w:rPr>
          <w:rStyle w:val="Rimandonotaapidipagina"/>
        </w:rPr>
        <w:footnoteRef/>
      </w:r>
      <w:r w:rsidRPr="006D2B2D">
        <w:t xml:space="preserve"> «</w:t>
      </w:r>
      <w:r w:rsidRPr="006D2B2D">
        <w:rPr>
          <w:i/>
        </w:rPr>
        <w:t>Le misure precauzionali</w:t>
      </w:r>
      <w:proofErr w:type="gramStart"/>
      <w:r w:rsidRPr="006D2B2D">
        <w:rPr>
          <w:i/>
        </w:rPr>
        <w:t xml:space="preserve"> infatti</w:t>
      </w:r>
      <w:proofErr w:type="gramEnd"/>
      <w:r w:rsidRPr="006D2B2D">
        <w:rPr>
          <w:i/>
        </w:rPr>
        <w:t xml:space="preserve"> presuppongono che la valutazione dei rischi di cui dispongono le autorità rilevi indizi specifici i quali, senza escludere l’incertezza scientifica, permettano ragionevolmente di concludere, sulla base dei dati disponibili che risultano maggiormente affidabili e dei risultati più recenti della ricerca internazionale, che l’attuazione di tali misure è necessaria al fine di evitare pregiudizi all’ambiente o alla salute</w:t>
      </w:r>
      <w:r w:rsidRPr="006D2B2D">
        <w:t xml:space="preserve">». Così </w:t>
      </w:r>
      <w:proofErr w:type="gramStart"/>
      <w:r w:rsidRPr="006D2B2D">
        <w:t>Cons.</w:t>
      </w:r>
      <w:proofErr w:type="gramEnd"/>
      <w:r w:rsidRPr="006D2B2D">
        <w:t xml:space="preserve"> Stato, sez. V, 17 dicembre 2013, n. 6250.</w:t>
      </w:r>
    </w:p>
  </w:footnote>
  <w:footnote w:id="31">
    <w:p w14:paraId="2869B269" w14:textId="2DEF5F21" w:rsidR="00CD6AA0" w:rsidRPr="006D2B2D" w:rsidRDefault="00CD6AA0" w:rsidP="00FE492D">
      <w:pPr>
        <w:pStyle w:val="Testonotaapidipagina"/>
        <w:spacing w:before="120"/>
      </w:pPr>
      <w:r w:rsidRPr="006D2B2D">
        <w:rPr>
          <w:rStyle w:val="Rimandonotaapidipagina"/>
        </w:rPr>
        <w:footnoteRef/>
      </w:r>
      <w:r w:rsidRPr="006D2B2D">
        <w:t xml:space="preserve"> Cons</w:t>
      </w:r>
      <w:r>
        <w:t>.</w:t>
      </w:r>
      <w:r w:rsidRPr="006D2B2D">
        <w:t xml:space="preserve"> Stato, sez. V, 16 aprile 2013, n. 2094.</w:t>
      </w:r>
    </w:p>
  </w:footnote>
  <w:footnote w:id="32">
    <w:p w14:paraId="586BE522" w14:textId="77777777" w:rsidR="00CD6AA0" w:rsidRDefault="00CD6AA0" w:rsidP="008C2B77">
      <w:pPr>
        <w:pStyle w:val="Testonotaapidipagina"/>
        <w:spacing w:before="120"/>
        <w:jc w:val="both"/>
      </w:pPr>
      <w:r w:rsidRPr="006D2B2D">
        <w:rPr>
          <w:rStyle w:val="Rimandonotaapidipagina"/>
        </w:rPr>
        <w:footnoteRef/>
      </w:r>
      <w:r w:rsidRPr="006D2B2D">
        <w:t xml:space="preserve"> La distinzione tra “atti necessitati” </w:t>
      </w:r>
      <w:proofErr w:type="gramStart"/>
      <w:r w:rsidRPr="006D2B2D">
        <w:t>ed</w:t>
      </w:r>
      <w:proofErr w:type="gramEnd"/>
      <w:r w:rsidRPr="006D2B2D">
        <w:t xml:space="preserve"> ordinanze di necessità ed urgenza è ben tratteggiata dalla Corte costituzionale nella sentenza 4 gennaio 1977, n. 4: «i primi, come le seconde, fondantisi sulla urgente necessità; ma i primi, emessi in attuazione di norme legislative che ne prefissano il contenuto; le altre, nell’esplicazione di poteri soltanto genericamente prefigurati dalle norme che li attribuiscono e perciò suscettibili di assumere vario contenuto, per adeguarsi duttilmente alle mutevoli situazioni ». </w:t>
      </w:r>
    </w:p>
    <w:p w14:paraId="503A4169" w14:textId="0EBE9A44" w:rsidR="00CD6AA0" w:rsidRDefault="00CD6AA0" w:rsidP="008C2B77">
      <w:pPr>
        <w:pStyle w:val="Testonotaapidipagina"/>
        <w:jc w:val="both"/>
      </w:pPr>
      <w:r w:rsidRPr="006D2B2D">
        <w:t xml:space="preserve">Sul potere di ordinanza la dottrina ha svolto un’approfondita opera di sistemazione dommatica. Si veda </w:t>
      </w:r>
      <w:r w:rsidRPr="006D2B2D">
        <w:rPr>
          <w:smallCaps/>
        </w:rPr>
        <w:t xml:space="preserve">A. </w:t>
      </w:r>
      <w:proofErr w:type="spellStart"/>
      <w:r w:rsidRPr="006D2B2D">
        <w:rPr>
          <w:smallCaps/>
        </w:rPr>
        <w:t>Origone</w:t>
      </w:r>
      <w:proofErr w:type="spellEnd"/>
      <w:r w:rsidRPr="006D2B2D">
        <w:t xml:space="preserve">, </w:t>
      </w:r>
      <w:r w:rsidRPr="006D2B2D">
        <w:rPr>
          <w:i/>
        </w:rPr>
        <w:t>Ordinanza</w:t>
      </w:r>
      <w:r w:rsidRPr="006D2B2D">
        <w:t xml:space="preserve">, in </w:t>
      </w:r>
      <w:r w:rsidRPr="006D2B2D">
        <w:rPr>
          <w:i/>
        </w:rPr>
        <w:t xml:space="preserve">Nuovo </w:t>
      </w:r>
      <w:proofErr w:type="spellStart"/>
      <w:proofErr w:type="gramStart"/>
      <w:r w:rsidRPr="006D2B2D">
        <w:rPr>
          <w:i/>
        </w:rPr>
        <w:t>dig</w:t>
      </w:r>
      <w:proofErr w:type="spellEnd"/>
      <w:r w:rsidRPr="006D2B2D">
        <w:rPr>
          <w:i/>
        </w:rPr>
        <w:t>.</w:t>
      </w:r>
      <w:proofErr w:type="gramEnd"/>
      <w:r w:rsidRPr="006D2B2D">
        <w:rPr>
          <w:i/>
        </w:rPr>
        <w:t xml:space="preserve"> </w:t>
      </w:r>
      <w:proofErr w:type="spellStart"/>
      <w:r w:rsidRPr="006D2B2D">
        <w:rPr>
          <w:i/>
        </w:rPr>
        <w:t>it</w:t>
      </w:r>
      <w:proofErr w:type="spellEnd"/>
      <w:r w:rsidRPr="006D2B2D">
        <w:rPr>
          <w:i/>
        </w:rPr>
        <w:t>.</w:t>
      </w:r>
      <w:r w:rsidRPr="006D2B2D">
        <w:t xml:space="preserve">, Torino, 1939, 297; </w:t>
      </w:r>
      <w:r w:rsidRPr="006D2B2D">
        <w:rPr>
          <w:smallCaps/>
        </w:rPr>
        <w:t xml:space="preserve">M. S. Giannini, </w:t>
      </w:r>
      <w:r w:rsidRPr="006D2B2D">
        <w:rPr>
          <w:i/>
        </w:rPr>
        <w:t>Potere di ordinanza ed atti necessitati</w:t>
      </w:r>
      <w:r w:rsidRPr="006D2B2D">
        <w:t xml:space="preserve">, in </w:t>
      </w:r>
      <w:r w:rsidRPr="006D2B2D">
        <w:rPr>
          <w:i/>
        </w:rPr>
        <w:t xml:space="preserve">Giur. </w:t>
      </w:r>
      <w:proofErr w:type="spellStart"/>
      <w:r w:rsidRPr="006D2B2D">
        <w:rPr>
          <w:i/>
        </w:rPr>
        <w:t>compl</w:t>
      </w:r>
      <w:proofErr w:type="spellEnd"/>
      <w:r w:rsidRPr="006D2B2D">
        <w:rPr>
          <w:i/>
        </w:rPr>
        <w:t xml:space="preserve">. </w:t>
      </w:r>
      <w:proofErr w:type="spellStart"/>
      <w:r w:rsidRPr="006D2B2D">
        <w:rPr>
          <w:i/>
        </w:rPr>
        <w:t>Cass</w:t>
      </w:r>
      <w:proofErr w:type="spellEnd"/>
      <w:r w:rsidRPr="006D2B2D">
        <w:rPr>
          <w:i/>
        </w:rPr>
        <w:t xml:space="preserve">. </w:t>
      </w:r>
      <w:proofErr w:type="gramStart"/>
      <w:r w:rsidRPr="006D2B2D">
        <w:rPr>
          <w:i/>
        </w:rPr>
        <w:t>civ.</w:t>
      </w:r>
      <w:proofErr w:type="gramEnd"/>
      <w:r w:rsidRPr="006D2B2D">
        <w:t>, 1948, 388 ss.; L</w:t>
      </w:r>
      <w:r w:rsidRPr="006D2B2D">
        <w:rPr>
          <w:smallCaps/>
        </w:rPr>
        <w:t xml:space="preserve">. </w:t>
      </w:r>
      <w:proofErr w:type="spellStart"/>
      <w:r w:rsidRPr="006D2B2D">
        <w:rPr>
          <w:smallCaps/>
        </w:rPr>
        <w:t>Galateria</w:t>
      </w:r>
      <w:proofErr w:type="spellEnd"/>
      <w:r w:rsidRPr="006D2B2D">
        <w:t xml:space="preserve">, </w:t>
      </w:r>
      <w:r w:rsidRPr="006D2B2D">
        <w:rPr>
          <w:i/>
        </w:rPr>
        <w:t>Teoria giuridica degli ordini amministrativi,</w:t>
      </w:r>
      <w:r w:rsidRPr="006D2B2D">
        <w:t xml:space="preserve"> Milano, 1950; </w:t>
      </w:r>
      <w:r w:rsidRPr="006D2B2D">
        <w:rPr>
          <w:smallCaps/>
        </w:rPr>
        <w:t xml:space="preserve">Id., </w:t>
      </w:r>
      <w:r w:rsidRPr="006D2B2D">
        <w:rPr>
          <w:i/>
          <w:smallCaps/>
        </w:rPr>
        <w:t>I</w:t>
      </w:r>
      <w:r w:rsidRPr="006D2B2D">
        <w:rPr>
          <w:i/>
        </w:rPr>
        <w:t xml:space="preserve"> provvedimenti amministrativi di urgenza. Le ordinanze</w:t>
      </w:r>
      <w:r w:rsidRPr="006D2B2D">
        <w:t xml:space="preserve">, Milano, 1953; G.U. </w:t>
      </w:r>
      <w:r w:rsidRPr="006D2B2D">
        <w:rPr>
          <w:smallCaps/>
        </w:rPr>
        <w:t>Rescigno</w:t>
      </w:r>
      <w:r w:rsidRPr="006D2B2D">
        <w:t xml:space="preserve">, voce </w:t>
      </w:r>
      <w:r w:rsidRPr="006D2B2D">
        <w:rPr>
          <w:i/>
        </w:rPr>
        <w:t xml:space="preserve">Ordinanza e provvedimenti di necessità </w:t>
      </w:r>
      <w:proofErr w:type="gramStart"/>
      <w:r w:rsidRPr="006D2B2D">
        <w:rPr>
          <w:i/>
        </w:rPr>
        <w:t>ed</w:t>
      </w:r>
      <w:proofErr w:type="gramEnd"/>
      <w:r w:rsidRPr="006D2B2D">
        <w:rPr>
          <w:i/>
        </w:rPr>
        <w:t xml:space="preserve"> urgenza (diritto costituzionale e diritto amministrativo)</w:t>
      </w:r>
      <w:r w:rsidRPr="006D2B2D">
        <w:t xml:space="preserve">, in </w:t>
      </w:r>
      <w:proofErr w:type="spellStart"/>
      <w:r w:rsidRPr="006D2B2D">
        <w:rPr>
          <w:i/>
        </w:rPr>
        <w:t>Noviss</w:t>
      </w:r>
      <w:proofErr w:type="spellEnd"/>
      <w:r w:rsidRPr="006D2B2D">
        <w:rPr>
          <w:i/>
        </w:rPr>
        <w:t xml:space="preserve">. </w:t>
      </w:r>
      <w:proofErr w:type="spellStart"/>
      <w:r w:rsidRPr="006D2B2D">
        <w:rPr>
          <w:i/>
        </w:rPr>
        <w:t>dig</w:t>
      </w:r>
      <w:proofErr w:type="spellEnd"/>
      <w:r w:rsidRPr="006D2B2D">
        <w:rPr>
          <w:i/>
        </w:rPr>
        <w:t xml:space="preserve">. </w:t>
      </w:r>
      <w:proofErr w:type="spellStart"/>
      <w:r w:rsidRPr="006D2B2D">
        <w:rPr>
          <w:i/>
        </w:rPr>
        <w:t>it</w:t>
      </w:r>
      <w:proofErr w:type="spellEnd"/>
      <w:r w:rsidRPr="006D2B2D">
        <w:t>., vol. XII, Torino, 1965, 89 ss.;</w:t>
      </w:r>
      <w:r w:rsidRPr="006D2B2D">
        <w:rPr>
          <w:smallCaps/>
        </w:rPr>
        <w:t xml:space="preserve"> F. </w:t>
      </w:r>
      <w:proofErr w:type="spellStart"/>
      <w:r w:rsidRPr="006D2B2D">
        <w:rPr>
          <w:smallCaps/>
        </w:rPr>
        <w:t>Bartolomei</w:t>
      </w:r>
      <w:proofErr w:type="spellEnd"/>
      <w:r w:rsidRPr="006D2B2D">
        <w:t xml:space="preserve">, </w:t>
      </w:r>
      <w:r w:rsidRPr="006D2B2D">
        <w:rPr>
          <w:i/>
          <w:iCs/>
        </w:rPr>
        <w:t>Il potere di ordinanza e le ordinanze di necessità</w:t>
      </w:r>
      <w:r w:rsidRPr="006D2B2D">
        <w:t xml:space="preserve">, Milano, 1979; </w:t>
      </w:r>
      <w:r w:rsidRPr="006D2B2D">
        <w:rPr>
          <w:smallCaps/>
        </w:rPr>
        <w:t>Id.</w:t>
      </w:r>
      <w:r w:rsidRPr="006D2B2D">
        <w:t xml:space="preserve">, voce </w:t>
      </w:r>
      <w:r w:rsidRPr="006D2B2D">
        <w:rPr>
          <w:i/>
        </w:rPr>
        <w:t xml:space="preserve">Ordinanza (dir. </w:t>
      </w:r>
      <w:proofErr w:type="spellStart"/>
      <w:r w:rsidRPr="006D2B2D">
        <w:rPr>
          <w:i/>
        </w:rPr>
        <w:t>amm</w:t>
      </w:r>
      <w:proofErr w:type="spellEnd"/>
      <w:r w:rsidRPr="006D2B2D">
        <w:rPr>
          <w:i/>
        </w:rPr>
        <w:t>.)</w:t>
      </w:r>
      <w:r w:rsidRPr="006D2B2D">
        <w:t xml:space="preserve">, in </w:t>
      </w:r>
      <w:proofErr w:type="spellStart"/>
      <w:r w:rsidRPr="006D2B2D">
        <w:rPr>
          <w:i/>
        </w:rPr>
        <w:t>Enc</w:t>
      </w:r>
      <w:proofErr w:type="spellEnd"/>
      <w:r w:rsidRPr="006D2B2D">
        <w:rPr>
          <w:i/>
        </w:rPr>
        <w:t>. dir.</w:t>
      </w:r>
      <w:r w:rsidRPr="006D2B2D">
        <w:t xml:space="preserve">, XXX, Milano, 1980, 970 ss.; </w:t>
      </w:r>
      <w:r w:rsidRPr="006D2B2D">
        <w:rPr>
          <w:smallCaps/>
        </w:rPr>
        <w:t>F.</w:t>
      </w:r>
      <w:r>
        <w:rPr>
          <w:smallCaps/>
        </w:rPr>
        <w:t xml:space="preserve"> </w:t>
      </w:r>
      <w:proofErr w:type="spellStart"/>
      <w:r w:rsidRPr="006D2B2D">
        <w:rPr>
          <w:smallCaps/>
        </w:rPr>
        <w:t>Satta</w:t>
      </w:r>
      <w:proofErr w:type="spellEnd"/>
      <w:r w:rsidRPr="006D2B2D">
        <w:t xml:space="preserve">, </w:t>
      </w:r>
      <w:r w:rsidRPr="006D2B2D">
        <w:rPr>
          <w:i/>
        </w:rPr>
        <w:t>Ordine e ordinanza amministrativa</w:t>
      </w:r>
      <w:r w:rsidRPr="006D2B2D">
        <w:t xml:space="preserve">, in </w:t>
      </w:r>
      <w:proofErr w:type="spellStart"/>
      <w:r w:rsidRPr="006D2B2D">
        <w:rPr>
          <w:i/>
        </w:rPr>
        <w:t>Enc</w:t>
      </w:r>
      <w:proofErr w:type="spellEnd"/>
      <w:r w:rsidRPr="006D2B2D">
        <w:rPr>
          <w:i/>
        </w:rPr>
        <w:t>. giur.</w:t>
      </w:r>
      <w:r w:rsidRPr="006D2B2D">
        <w:t xml:space="preserve">, Roma, 1990, XXII; </w:t>
      </w:r>
      <w:r w:rsidRPr="006D2B2D">
        <w:rPr>
          <w:smallCaps/>
        </w:rPr>
        <w:t>R. Cavallo Perin</w:t>
      </w:r>
      <w:r w:rsidRPr="006D2B2D">
        <w:t xml:space="preserve">, </w:t>
      </w:r>
      <w:hyperlink r:id="rId4" w:history="1">
        <w:r w:rsidRPr="006D2B2D">
          <w:rPr>
            <w:rStyle w:val="Collegamentoipertestuale"/>
            <w:i/>
            <w:iCs/>
            <w:color w:val="auto"/>
            <w:u w:val="none"/>
          </w:rPr>
          <w:t>Potere di ordinanza e principio di legalità</w:t>
        </w:r>
        <w:r w:rsidRPr="006D2B2D">
          <w:rPr>
            <w:rStyle w:val="Collegamentoipertestuale"/>
            <w:color w:val="auto"/>
            <w:u w:val="none"/>
          </w:rPr>
          <w:t>.</w:t>
        </w:r>
        <w:r w:rsidRPr="006D2B2D">
          <w:rPr>
            <w:rStyle w:val="Collegamentoipertestuale"/>
            <w:i/>
            <w:iCs/>
            <w:color w:val="auto"/>
            <w:u w:val="none"/>
          </w:rPr>
          <w:t xml:space="preserve"> Le ordinanze amministrative di necessità e urgenza</w:t>
        </w:r>
      </w:hyperlink>
      <w:r w:rsidRPr="006D2B2D">
        <w:t xml:space="preserve">, Milano, 1990; </w:t>
      </w:r>
      <w:r w:rsidRPr="006D2B2D">
        <w:rPr>
          <w:smallCaps/>
        </w:rPr>
        <w:t>Id.</w:t>
      </w:r>
      <w:r w:rsidRPr="006D2B2D">
        <w:t xml:space="preserve">, </w:t>
      </w:r>
      <w:hyperlink r:id="rId5" w:history="1">
        <w:r w:rsidRPr="006D2B2D">
          <w:rPr>
            <w:rStyle w:val="Collegamentoipertestuale"/>
            <w:i/>
            <w:iCs/>
            <w:color w:val="auto"/>
            <w:u w:val="none"/>
          </w:rPr>
          <w:t>Ordine e ordinanza nel diritto amministrativo</w:t>
        </w:r>
      </w:hyperlink>
      <w:r w:rsidRPr="006D2B2D">
        <w:t xml:space="preserve">, in </w:t>
      </w:r>
      <w:proofErr w:type="spellStart"/>
      <w:r w:rsidRPr="006D2B2D">
        <w:rPr>
          <w:i/>
          <w:iCs/>
        </w:rPr>
        <w:t>Dig</w:t>
      </w:r>
      <w:proofErr w:type="spellEnd"/>
      <w:r w:rsidRPr="006D2B2D">
        <w:rPr>
          <w:i/>
          <w:iCs/>
        </w:rPr>
        <w:t xml:space="preserve">. disc. </w:t>
      </w:r>
      <w:proofErr w:type="spellStart"/>
      <w:proofErr w:type="gramStart"/>
      <w:r w:rsidRPr="006D2B2D">
        <w:rPr>
          <w:i/>
          <w:iCs/>
        </w:rPr>
        <w:t>pubbl</w:t>
      </w:r>
      <w:proofErr w:type="spellEnd"/>
      <w:proofErr w:type="gramEnd"/>
      <w:r w:rsidRPr="006D2B2D">
        <w:t xml:space="preserve">., I </w:t>
      </w:r>
      <w:proofErr w:type="spellStart"/>
      <w:r w:rsidRPr="006D2B2D">
        <w:t>agg</w:t>
      </w:r>
      <w:proofErr w:type="spellEnd"/>
      <w:r w:rsidRPr="006D2B2D">
        <w:t>., 2010</w:t>
      </w:r>
      <w:r>
        <w:t xml:space="preserve">; </w:t>
      </w:r>
      <w:r>
        <w:rPr>
          <w:smallCaps/>
        </w:rPr>
        <w:t xml:space="preserve">B. </w:t>
      </w:r>
      <w:r w:rsidRPr="006D2B2D">
        <w:rPr>
          <w:smallCaps/>
        </w:rPr>
        <w:t>Cavallo</w:t>
      </w:r>
      <w:r w:rsidRPr="006D2B2D">
        <w:t xml:space="preserve">, </w:t>
      </w:r>
      <w:r w:rsidRPr="006D2B2D">
        <w:rPr>
          <w:i/>
        </w:rPr>
        <w:t>Ordine e ordinanza nel diritto amministrativo</w:t>
      </w:r>
      <w:r w:rsidRPr="006D2B2D">
        <w:t xml:space="preserve">, in </w:t>
      </w:r>
      <w:proofErr w:type="spellStart"/>
      <w:r w:rsidRPr="006D2B2D">
        <w:rPr>
          <w:i/>
        </w:rPr>
        <w:t>Dig</w:t>
      </w:r>
      <w:proofErr w:type="spellEnd"/>
      <w:r w:rsidRPr="006D2B2D">
        <w:rPr>
          <w:i/>
        </w:rPr>
        <w:t xml:space="preserve">. disc. </w:t>
      </w:r>
      <w:proofErr w:type="spellStart"/>
      <w:proofErr w:type="gramStart"/>
      <w:r w:rsidRPr="006D2B2D">
        <w:rPr>
          <w:i/>
        </w:rPr>
        <w:t>pubbl</w:t>
      </w:r>
      <w:proofErr w:type="spellEnd"/>
      <w:proofErr w:type="gramEnd"/>
      <w:r w:rsidRPr="006D2B2D">
        <w:rPr>
          <w:i/>
        </w:rPr>
        <w:t>.</w:t>
      </w:r>
      <w:r w:rsidRPr="006D2B2D">
        <w:t xml:space="preserve">, Torino, 1995, X, 435 ss.; </w:t>
      </w:r>
      <w:r w:rsidRPr="006D2B2D">
        <w:rPr>
          <w:smallCaps/>
        </w:rPr>
        <w:t xml:space="preserve">V. </w:t>
      </w:r>
      <w:proofErr w:type="spellStart"/>
      <w:r w:rsidRPr="006D2B2D">
        <w:rPr>
          <w:smallCaps/>
        </w:rPr>
        <w:t>Cerulli</w:t>
      </w:r>
      <w:proofErr w:type="spellEnd"/>
      <w:r w:rsidRPr="006D2B2D">
        <w:rPr>
          <w:smallCaps/>
        </w:rPr>
        <w:t xml:space="preserve"> Irelli</w:t>
      </w:r>
      <w:r w:rsidRPr="006D2B2D">
        <w:t xml:space="preserve">, </w:t>
      </w:r>
      <w:r w:rsidRPr="006D2B2D">
        <w:rPr>
          <w:i/>
        </w:rPr>
        <w:t xml:space="preserve">Principio di legalità e poteri straordinari dell’Amministrazione, </w:t>
      </w:r>
      <w:r w:rsidRPr="006D2B2D">
        <w:t xml:space="preserve">in </w:t>
      </w:r>
      <w:r w:rsidRPr="006D2B2D">
        <w:rPr>
          <w:i/>
        </w:rPr>
        <w:t>Il principio di legalità e poteri straordinari dell’Amministrazione</w:t>
      </w:r>
      <w:r w:rsidRPr="006D2B2D">
        <w:t xml:space="preserve">. </w:t>
      </w:r>
      <w:r w:rsidRPr="006D2B2D">
        <w:rPr>
          <w:i/>
        </w:rPr>
        <w:t>Atti del LIII Convegno di studi di Scienza dell’Amministrazione (Varenna, Villa Monastero, 20-22 settembre 2008)</w:t>
      </w:r>
      <w:r w:rsidRPr="006D2B2D">
        <w:t xml:space="preserve">, Milano, 2008, 164 </w:t>
      </w:r>
      <w:proofErr w:type="gramStart"/>
      <w:r w:rsidRPr="006D2B2D">
        <w:t>ss</w:t>
      </w:r>
      <w:r>
        <w:t>.</w:t>
      </w:r>
      <w:proofErr w:type="gramEnd"/>
      <w:r>
        <w:t xml:space="preserve">; </w:t>
      </w:r>
      <w:r w:rsidRPr="006B1F8D">
        <w:rPr>
          <w:smallCaps/>
        </w:rPr>
        <w:t xml:space="preserve">A. </w:t>
      </w:r>
      <w:proofErr w:type="spellStart"/>
      <w:r w:rsidRPr="006B1F8D">
        <w:rPr>
          <w:smallCaps/>
        </w:rPr>
        <w:t>Fioritto</w:t>
      </w:r>
      <w:proofErr w:type="spellEnd"/>
      <w:r w:rsidRPr="006B1F8D">
        <w:t xml:space="preserve">, </w:t>
      </w:r>
      <w:r w:rsidRPr="006B1F8D">
        <w:rPr>
          <w:i/>
        </w:rPr>
        <w:t>L’amministrazione dell’emergenza tra autorità e garanzie</w:t>
      </w:r>
      <w:r>
        <w:t xml:space="preserve">, Bologna, 2008; </w:t>
      </w:r>
      <w:r w:rsidRPr="00284E17">
        <w:rPr>
          <w:smallCaps/>
        </w:rPr>
        <w:t xml:space="preserve">M. A. </w:t>
      </w:r>
      <w:proofErr w:type="spellStart"/>
      <w:r w:rsidRPr="00284E17">
        <w:rPr>
          <w:smallCaps/>
        </w:rPr>
        <w:t>Cabiddu</w:t>
      </w:r>
      <w:proofErr w:type="spellEnd"/>
      <w:r w:rsidRPr="00284E17">
        <w:t xml:space="preserve">, </w:t>
      </w:r>
      <w:r w:rsidRPr="00284E17">
        <w:rPr>
          <w:i/>
        </w:rPr>
        <w:t>Necessità ed emergenza: ai confini dell’ordinamento</w:t>
      </w:r>
      <w:r w:rsidRPr="00284E17">
        <w:t xml:space="preserve">, in </w:t>
      </w:r>
      <w:r w:rsidRPr="00284E17">
        <w:rPr>
          <w:i/>
        </w:rPr>
        <w:t>Amministrare</w:t>
      </w:r>
      <w:r w:rsidRPr="00284E17">
        <w:t>, n. 2/2010, 167 ss.</w:t>
      </w:r>
      <w:r>
        <w:t xml:space="preserve">; </w:t>
      </w:r>
      <w:r w:rsidRPr="006D2B2D">
        <w:rPr>
          <w:smallCaps/>
        </w:rPr>
        <w:t>A. Cardone</w:t>
      </w:r>
      <w:r w:rsidRPr="006D2B2D">
        <w:t xml:space="preserve">, </w:t>
      </w:r>
      <w:r w:rsidRPr="006D2B2D">
        <w:rPr>
          <w:i/>
        </w:rPr>
        <w:t xml:space="preserve">La «normalizzazione» dell’emergenza. </w:t>
      </w:r>
      <w:proofErr w:type="gramStart"/>
      <w:r w:rsidRPr="006D2B2D">
        <w:rPr>
          <w:i/>
        </w:rPr>
        <w:t xml:space="preserve">Contributo allo studio del potere extra </w:t>
      </w:r>
      <w:proofErr w:type="spellStart"/>
      <w:r w:rsidRPr="006D2B2D">
        <w:rPr>
          <w:i/>
        </w:rPr>
        <w:t>ordinem</w:t>
      </w:r>
      <w:proofErr w:type="spellEnd"/>
      <w:r w:rsidRPr="006D2B2D">
        <w:rPr>
          <w:i/>
        </w:rPr>
        <w:t xml:space="preserve"> del Governo</w:t>
      </w:r>
      <w:r>
        <w:t xml:space="preserve">, Torino 2011; </w:t>
      </w:r>
      <w:r w:rsidRPr="003744EB">
        <w:rPr>
          <w:smallCaps/>
        </w:rPr>
        <w:t xml:space="preserve">M. </w:t>
      </w:r>
      <w:proofErr w:type="spellStart"/>
      <w:r w:rsidRPr="003744EB">
        <w:rPr>
          <w:smallCaps/>
        </w:rPr>
        <w:t>Ramajoli</w:t>
      </w:r>
      <w:proofErr w:type="spellEnd"/>
      <w:r w:rsidRPr="003744EB">
        <w:t xml:space="preserve">, </w:t>
      </w:r>
      <w:r w:rsidRPr="003744EB">
        <w:rPr>
          <w:i/>
        </w:rPr>
        <w:t>Potere di ordinanza e Stato di diritto</w:t>
      </w:r>
      <w:r w:rsidRPr="003744EB">
        <w:t xml:space="preserve">, in </w:t>
      </w:r>
      <w:r w:rsidRPr="003744EB">
        <w:rPr>
          <w:i/>
        </w:rPr>
        <w:t>Studi in o</w:t>
      </w:r>
      <w:proofErr w:type="gramEnd"/>
      <w:r w:rsidRPr="003744EB">
        <w:rPr>
          <w:i/>
        </w:rPr>
        <w:t>nore di Alberto Romano</w:t>
      </w:r>
      <w:r w:rsidRPr="003744EB">
        <w:t>, vol. I, Napoli, 2011, 738 ss.</w:t>
      </w:r>
    </w:p>
    <w:p w14:paraId="443BF6AB" w14:textId="0CE56237" w:rsidR="00CD6AA0" w:rsidRPr="006D2B2D" w:rsidRDefault="00CD6AA0" w:rsidP="008C2B77">
      <w:pPr>
        <w:pStyle w:val="Testonotaapidipagina"/>
        <w:jc w:val="both"/>
      </w:pPr>
      <w:r w:rsidRPr="006D2B2D">
        <w:t xml:space="preserve">Una preziosa ricostruzione dell’istituto e delle analisi della dottrina amministrativistica si deve a </w:t>
      </w:r>
      <w:r w:rsidRPr="006D2B2D">
        <w:rPr>
          <w:smallCaps/>
        </w:rPr>
        <w:t xml:space="preserve">R. Cavallo Perin, </w:t>
      </w:r>
      <w:r w:rsidRPr="006D2B2D">
        <w:rPr>
          <w:i/>
        </w:rPr>
        <w:t>Il diritto amministrativo dell’emergenza</w:t>
      </w:r>
      <w:r w:rsidRPr="006D2B2D">
        <w:t>, cit.</w:t>
      </w:r>
      <w:r w:rsidRPr="006D2B2D">
        <w:rPr>
          <w:smallCaps/>
        </w:rPr>
        <w:t xml:space="preserve"> </w:t>
      </w:r>
    </w:p>
  </w:footnote>
  <w:footnote w:id="33">
    <w:p w14:paraId="4B72CC92" w14:textId="77777777" w:rsidR="00CD6AA0" w:rsidRPr="006D2B2D" w:rsidRDefault="00CD6AA0" w:rsidP="00FE492D">
      <w:pPr>
        <w:pStyle w:val="Testonotaapidipagina"/>
        <w:spacing w:before="120"/>
      </w:pPr>
      <w:r w:rsidRPr="006D2B2D">
        <w:rPr>
          <w:rStyle w:val="Rimandonotaapidipagina"/>
        </w:rPr>
        <w:footnoteRef/>
      </w:r>
      <w:r w:rsidRPr="006D2B2D">
        <w:t xml:space="preserve"> G.U. </w:t>
      </w:r>
      <w:r w:rsidRPr="006D2B2D">
        <w:rPr>
          <w:smallCaps/>
        </w:rPr>
        <w:t>Rescigno</w:t>
      </w:r>
      <w:r w:rsidRPr="006D2B2D">
        <w:t xml:space="preserve">, voce </w:t>
      </w:r>
      <w:r w:rsidRPr="006D2B2D">
        <w:rPr>
          <w:i/>
        </w:rPr>
        <w:t>Ordinanza</w:t>
      </w:r>
      <w:r w:rsidRPr="006D2B2D">
        <w:t xml:space="preserve">, </w:t>
      </w:r>
      <w:proofErr w:type="gramStart"/>
      <w:r w:rsidRPr="006D2B2D">
        <w:t>cit. 91</w:t>
      </w:r>
      <w:proofErr w:type="gramEnd"/>
      <w:r w:rsidRPr="006D2B2D">
        <w:t>.</w:t>
      </w:r>
    </w:p>
  </w:footnote>
  <w:footnote w:id="34">
    <w:p w14:paraId="0E1EDDB3" w14:textId="5AD06811" w:rsidR="00CD6AA0" w:rsidRPr="006D2B2D" w:rsidRDefault="00CD6AA0" w:rsidP="00FE492D">
      <w:pPr>
        <w:pStyle w:val="Testonotaapidipagina"/>
        <w:spacing w:before="120"/>
        <w:jc w:val="both"/>
      </w:pPr>
      <w:r w:rsidRPr="006D2B2D">
        <w:rPr>
          <w:rStyle w:val="Rimandonotaapidipagina"/>
        </w:rPr>
        <w:footnoteRef/>
      </w:r>
      <w:r w:rsidRPr="006D2B2D">
        <w:t xml:space="preserve"> </w:t>
      </w:r>
      <w:r w:rsidRPr="006D2B2D">
        <w:rPr>
          <w:smallCaps/>
        </w:rPr>
        <w:t>G. Amato</w:t>
      </w:r>
      <w:r w:rsidRPr="006D2B2D">
        <w:t xml:space="preserve">, </w:t>
      </w:r>
      <w:r w:rsidRPr="006D2B2D">
        <w:rPr>
          <w:i/>
          <w:iCs/>
        </w:rPr>
        <w:t>Rapporti fra norme primarie e secondarie</w:t>
      </w:r>
      <w:r w:rsidRPr="006D2B2D">
        <w:t xml:space="preserve">, Milano, 1962, 128 </w:t>
      </w:r>
      <w:proofErr w:type="gramStart"/>
      <w:r w:rsidRPr="006D2B2D">
        <w:t>ss.</w:t>
      </w:r>
      <w:proofErr w:type="gramEnd"/>
      <w:r w:rsidRPr="006D2B2D">
        <w:t xml:space="preserve"> considera il principio portato dell’art. 76 </w:t>
      </w:r>
      <w:proofErr w:type="spellStart"/>
      <w:r w:rsidRPr="006D2B2D">
        <w:t>Cost</w:t>
      </w:r>
      <w:proofErr w:type="spellEnd"/>
      <w:r w:rsidRPr="006D2B2D">
        <w:t xml:space="preserve">. Secondo </w:t>
      </w:r>
      <w:r w:rsidRPr="006D2B2D">
        <w:rPr>
          <w:smallCaps/>
        </w:rPr>
        <w:t xml:space="preserve">V. </w:t>
      </w:r>
      <w:proofErr w:type="spellStart"/>
      <w:r w:rsidRPr="006D2B2D">
        <w:rPr>
          <w:smallCaps/>
        </w:rPr>
        <w:t>Crisafulli</w:t>
      </w:r>
      <w:proofErr w:type="spellEnd"/>
      <w:r w:rsidRPr="006D2B2D">
        <w:t xml:space="preserve">, </w:t>
      </w:r>
      <w:r w:rsidRPr="006D2B2D">
        <w:rPr>
          <w:i/>
          <w:iCs/>
        </w:rPr>
        <w:t>Principio di legalità e «giusto procedimento»</w:t>
      </w:r>
      <w:r w:rsidRPr="006D2B2D">
        <w:t xml:space="preserve">, in </w:t>
      </w:r>
      <w:proofErr w:type="gramStart"/>
      <w:r w:rsidRPr="006D2B2D">
        <w:rPr>
          <w:i/>
        </w:rPr>
        <w:t>Giur.</w:t>
      </w:r>
      <w:proofErr w:type="gramEnd"/>
      <w:r w:rsidRPr="006D2B2D">
        <w:rPr>
          <w:i/>
        </w:rPr>
        <w:t xml:space="preserve"> </w:t>
      </w:r>
      <w:proofErr w:type="spellStart"/>
      <w:r w:rsidRPr="006D2B2D">
        <w:rPr>
          <w:i/>
        </w:rPr>
        <w:t>cost</w:t>
      </w:r>
      <w:proofErr w:type="spellEnd"/>
      <w:r w:rsidRPr="006D2B2D">
        <w:rPr>
          <w:i/>
        </w:rPr>
        <w:t>.</w:t>
      </w:r>
      <w:r w:rsidRPr="006D2B2D">
        <w:t xml:space="preserve">, 1962, 130 ss. il principio potrebbe desumersi dagli art. 24 e 113 </w:t>
      </w:r>
      <w:proofErr w:type="spellStart"/>
      <w:r w:rsidRPr="006D2B2D">
        <w:t>Cost</w:t>
      </w:r>
      <w:proofErr w:type="spellEnd"/>
      <w:r w:rsidRPr="006D2B2D">
        <w:t xml:space="preserve">. Nelle riflessioni di </w:t>
      </w:r>
      <w:proofErr w:type="gramStart"/>
      <w:r w:rsidRPr="006D2B2D">
        <w:rPr>
          <w:smallCaps/>
        </w:rPr>
        <w:t>M.S.</w:t>
      </w:r>
      <w:proofErr w:type="gramEnd"/>
      <w:r w:rsidRPr="006D2B2D">
        <w:rPr>
          <w:smallCaps/>
        </w:rPr>
        <w:t xml:space="preserve"> Giannini</w:t>
      </w:r>
      <w:r w:rsidRPr="006D2B2D">
        <w:t xml:space="preserve">, </w:t>
      </w:r>
      <w:r w:rsidRPr="006D2B2D">
        <w:rPr>
          <w:i/>
          <w:iCs/>
        </w:rPr>
        <w:t>Diritto amministrativo</w:t>
      </w:r>
      <w:r w:rsidRPr="006D2B2D">
        <w:t xml:space="preserve">, Milano, 1970, vol. I, 83 ss., il principio sarebbe immanente nel sistema e troverebbe espressione nell’art. 23 </w:t>
      </w:r>
      <w:proofErr w:type="spellStart"/>
      <w:r w:rsidRPr="006D2B2D">
        <w:t>Cost</w:t>
      </w:r>
      <w:proofErr w:type="spellEnd"/>
      <w:r w:rsidRPr="006D2B2D">
        <w:t xml:space="preserve">., pur se riferito ai soli provvedimenti ablatori. Anche secondo </w:t>
      </w:r>
      <w:r w:rsidRPr="006D2B2D">
        <w:rPr>
          <w:smallCaps/>
        </w:rPr>
        <w:t>N. Bassi</w:t>
      </w:r>
      <w:r w:rsidRPr="006D2B2D">
        <w:t xml:space="preserve">, </w:t>
      </w:r>
      <w:r w:rsidRPr="006D2B2D">
        <w:rPr>
          <w:i/>
          <w:iCs/>
        </w:rPr>
        <w:t>Principio di legalità e poteri amministrativi impliciti</w:t>
      </w:r>
      <w:r w:rsidRPr="006D2B2D">
        <w:t xml:space="preserve">, Milano, 2001 il principio connoterebbe l’intero sistema amministrativo. </w:t>
      </w:r>
    </w:p>
  </w:footnote>
  <w:footnote w:id="35">
    <w:p w14:paraId="187D8E94" w14:textId="6B0BF2FB" w:rsidR="00CD6AA0" w:rsidRPr="006D2B2D" w:rsidRDefault="00CD6AA0" w:rsidP="00CE7C7C">
      <w:pPr>
        <w:pStyle w:val="Testonotaapidipagina"/>
        <w:spacing w:before="120"/>
        <w:jc w:val="both"/>
      </w:pPr>
      <w:r w:rsidRPr="006D2B2D">
        <w:rPr>
          <w:rStyle w:val="Rimandonotaapidipagina"/>
        </w:rPr>
        <w:footnoteRef/>
      </w:r>
      <w:r w:rsidRPr="006D2B2D">
        <w:t xml:space="preserve"> Secondo </w:t>
      </w:r>
      <w:r w:rsidRPr="006D2B2D">
        <w:rPr>
          <w:smallCaps/>
        </w:rPr>
        <w:t>A. Romano</w:t>
      </w:r>
      <w:r w:rsidRPr="006D2B2D">
        <w:t xml:space="preserve">, </w:t>
      </w:r>
      <w:r w:rsidRPr="006D2B2D">
        <w:rPr>
          <w:i/>
          <w:iCs/>
        </w:rPr>
        <w:t>Amministrazione, principio di legalità e ordinamenti giuridici</w:t>
      </w:r>
      <w:r w:rsidRPr="006D2B2D">
        <w:t xml:space="preserve">, in </w:t>
      </w:r>
      <w:r w:rsidRPr="006D2B2D">
        <w:rPr>
          <w:i/>
        </w:rPr>
        <w:t xml:space="preserve">Dir. </w:t>
      </w:r>
      <w:proofErr w:type="spellStart"/>
      <w:proofErr w:type="gramStart"/>
      <w:r w:rsidRPr="006D2B2D">
        <w:rPr>
          <w:i/>
        </w:rPr>
        <w:t>amm</w:t>
      </w:r>
      <w:proofErr w:type="spellEnd"/>
      <w:r w:rsidRPr="006D2B2D">
        <w:t>.</w:t>
      </w:r>
      <w:proofErr w:type="gramEnd"/>
      <w:r w:rsidRPr="006D2B2D">
        <w:t>, 1999, 111 ss., il principio è enunciato nell’art. 5 dell’Allegato E della legge 20 marzo 1865, n. 2248.</w:t>
      </w:r>
      <w:r>
        <w:t xml:space="preserve"> Da ultimo, cfr. </w:t>
      </w:r>
      <w:r w:rsidRPr="00F164E6">
        <w:rPr>
          <w:smallCaps/>
        </w:rPr>
        <w:t>A. Angiuli - V. C</w:t>
      </w:r>
      <w:r>
        <w:rPr>
          <w:smallCaps/>
        </w:rPr>
        <w:t>a</w:t>
      </w:r>
      <w:r w:rsidRPr="00F164E6">
        <w:rPr>
          <w:smallCaps/>
        </w:rPr>
        <w:t xml:space="preserve">puti </w:t>
      </w:r>
      <w:proofErr w:type="spellStart"/>
      <w:r w:rsidRPr="00F164E6">
        <w:rPr>
          <w:smallCaps/>
        </w:rPr>
        <w:t>Jambrenghi</w:t>
      </w:r>
      <w:proofErr w:type="spellEnd"/>
      <w:r w:rsidRPr="00F164E6">
        <w:t xml:space="preserve">, </w:t>
      </w:r>
      <w:r w:rsidRPr="00F164E6">
        <w:rPr>
          <w:i/>
        </w:rPr>
        <w:t>Forma e sostanza del principio di legalità nell’esercizio di pubblici</w:t>
      </w:r>
      <w:proofErr w:type="gramStart"/>
      <w:r w:rsidRPr="00F164E6">
        <w:rPr>
          <w:i/>
        </w:rPr>
        <w:t xml:space="preserve">  </w:t>
      </w:r>
      <w:proofErr w:type="gramEnd"/>
      <w:r w:rsidRPr="00F164E6">
        <w:rPr>
          <w:i/>
        </w:rPr>
        <w:t>poteri</w:t>
      </w:r>
      <w:r w:rsidRPr="00F164E6">
        <w:t xml:space="preserve">, in </w:t>
      </w:r>
      <w:r w:rsidRPr="00F164E6">
        <w:rPr>
          <w:i/>
        </w:rPr>
        <w:t>www.giustamm.it</w:t>
      </w:r>
      <w:r w:rsidRPr="00F164E6">
        <w:t>, 2013</w:t>
      </w:r>
      <w:r>
        <w:t>.</w:t>
      </w:r>
    </w:p>
  </w:footnote>
  <w:footnote w:id="36">
    <w:p w14:paraId="1A960496" w14:textId="2E425A72" w:rsidR="00CD6AA0" w:rsidRPr="006D2B2D" w:rsidRDefault="00CD6AA0" w:rsidP="00FE492D">
      <w:pPr>
        <w:pStyle w:val="Testonotaapidipagina"/>
        <w:spacing w:before="120"/>
        <w:jc w:val="both"/>
      </w:pPr>
      <w:r w:rsidRPr="006D2B2D">
        <w:rPr>
          <w:rStyle w:val="Rimandonotaapidipagina"/>
        </w:rPr>
        <w:footnoteRef/>
      </w:r>
      <w:r w:rsidRPr="006D2B2D">
        <w:t xml:space="preserve"> </w:t>
      </w:r>
      <w:r w:rsidRPr="006D2B2D">
        <w:rPr>
          <w:smallCaps/>
        </w:rPr>
        <w:t xml:space="preserve">S. </w:t>
      </w:r>
      <w:proofErr w:type="spellStart"/>
      <w:r w:rsidRPr="006D2B2D">
        <w:rPr>
          <w:smallCaps/>
        </w:rPr>
        <w:t>Cassese</w:t>
      </w:r>
      <w:proofErr w:type="spellEnd"/>
      <w:r w:rsidRPr="006D2B2D">
        <w:t xml:space="preserve">, </w:t>
      </w:r>
      <w:r w:rsidRPr="006D2B2D">
        <w:rPr>
          <w:i/>
          <w:iCs/>
        </w:rPr>
        <w:t>Le basi costituzionali</w:t>
      </w:r>
      <w:r w:rsidRPr="006D2B2D">
        <w:t xml:space="preserve">, in </w:t>
      </w:r>
      <w:r w:rsidRPr="006D2B2D">
        <w:rPr>
          <w:smallCaps/>
        </w:rPr>
        <w:t xml:space="preserve">S. </w:t>
      </w:r>
      <w:proofErr w:type="spellStart"/>
      <w:r w:rsidRPr="006D2B2D">
        <w:rPr>
          <w:smallCaps/>
        </w:rPr>
        <w:t>Cassese</w:t>
      </w:r>
      <w:proofErr w:type="spellEnd"/>
      <w:r w:rsidRPr="006D2B2D">
        <w:t xml:space="preserve"> (a cura di), </w:t>
      </w:r>
      <w:r w:rsidRPr="006D2B2D">
        <w:rPr>
          <w:i/>
          <w:iCs/>
        </w:rPr>
        <w:t>Trattato di diritto amministrativo.</w:t>
      </w:r>
      <w:r w:rsidRPr="006D2B2D">
        <w:rPr>
          <w:i/>
        </w:rPr>
        <w:t xml:space="preserve"> Diritto amministrativo generale</w:t>
      </w:r>
      <w:r w:rsidRPr="006D2B2D">
        <w:t>,</w:t>
      </w:r>
      <w:r>
        <w:t xml:space="preserve"> vol.</w:t>
      </w:r>
      <w:r w:rsidRPr="006D2B2D">
        <w:rPr>
          <w:i/>
        </w:rPr>
        <w:t xml:space="preserve"> </w:t>
      </w:r>
      <w:r w:rsidRPr="006D2B2D">
        <w:t>I,</w:t>
      </w:r>
      <w:r w:rsidRPr="006D2B2D">
        <w:rPr>
          <w:i/>
        </w:rPr>
        <w:t xml:space="preserve"> </w:t>
      </w:r>
      <w:r w:rsidRPr="006D2B2D">
        <w:t>Milano, 2003, 216 ss.</w:t>
      </w:r>
    </w:p>
  </w:footnote>
  <w:footnote w:id="37">
    <w:p w14:paraId="083AB873" w14:textId="42948BAD" w:rsidR="00CD6AA0" w:rsidRPr="006D2B2D" w:rsidRDefault="00CD6AA0" w:rsidP="00FE492D">
      <w:pPr>
        <w:pStyle w:val="Testonotaapidipagina"/>
        <w:spacing w:before="120"/>
        <w:jc w:val="both"/>
      </w:pPr>
      <w:r w:rsidRPr="006D2B2D">
        <w:rPr>
          <w:rStyle w:val="Rimandonotaapidipagina"/>
        </w:rPr>
        <w:footnoteRef/>
      </w:r>
      <w:r w:rsidRPr="006D2B2D">
        <w:t xml:space="preserve"> </w:t>
      </w:r>
      <w:r w:rsidRPr="006D2B2D">
        <w:rPr>
          <w:smallCaps/>
        </w:rPr>
        <w:t xml:space="preserve">F. </w:t>
      </w:r>
      <w:proofErr w:type="spellStart"/>
      <w:r w:rsidRPr="006D2B2D">
        <w:rPr>
          <w:smallCaps/>
        </w:rPr>
        <w:t>Satta</w:t>
      </w:r>
      <w:proofErr w:type="spellEnd"/>
      <w:r w:rsidRPr="006D2B2D">
        <w:t xml:space="preserve">, (voce) </w:t>
      </w:r>
      <w:r w:rsidRPr="006D2B2D">
        <w:rPr>
          <w:i/>
        </w:rPr>
        <w:t>Ordine e ordinanza amministrativa</w:t>
      </w:r>
      <w:r w:rsidRPr="006D2B2D">
        <w:t xml:space="preserve">, in </w:t>
      </w:r>
      <w:proofErr w:type="spellStart"/>
      <w:proofErr w:type="gramStart"/>
      <w:r w:rsidRPr="006D2B2D">
        <w:rPr>
          <w:i/>
        </w:rPr>
        <w:t>Enc</w:t>
      </w:r>
      <w:proofErr w:type="spellEnd"/>
      <w:r w:rsidRPr="006D2B2D">
        <w:rPr>
          <w:i/>
        </w:rPr>
        <w:t>.</w:t>
      </w:r>
      <w:proofErr w:type="gramEnd"/>
      <w:r w:rsidRPr="006D2B2D">
        <w:rPr>
          <w:i/>
        </w:rPr>
        <w:t xml:space="preserve"> Giur., </w:t>
      </w:r>
      <w:r>
        <w:t xml:space="preserve">vol. </w:t>
      </w:r>
      <w:r w:rsidRPr="006D2B2D">
        <w:t xml:space="preserve">XXII, Roma, 1990, 4, individua il fondamento del potere di ordinanza contingibile ed urgente nella sussistenza di lacune dell’ordinamento normativo (e dunque nella necessità di adeguare l’ordinamento normativo allo stato di fatto), non dell’ordinamento giuridico complessivo. </w:t>
      </w:r>
    </w:p>
  </w:footnote>
  <w:footnote w:id="38">
    <w:p w14:paraId="4FC2D1F8" w14:textId="77777777" w:rsidR="00CD6AA0" w:rsidRPr="006D2B2D" w:rsidRDefault="00CD6AA0" w:rsidP="00FE492D">
      <w:pPr>
        <w:pStyle w:val="Testonotaapidipagina"/>
        <w:spacing w:before="120"/>
      </w:pPr>
      <w:r w:rsidRPr="006D2B2D">
        <w:rPr>
          <w:rStyle w:val="Rimandonotaapidipagina"/>
        </w:rPr>
        <w:footnoteRef/>
      </w:r>
      <w:r w:rsidRPr="006D2B2D">
        <w:t xml:space="preserve"> </w:t>
      </w:r>
      <w:proofErr w:type="gramStart"/>
      <w:r w:rsidRPr="006D2B2D">
        <w:rPr>
          <w:smallCaps/>
        </w:rPr>
        <w:t>M.S.</w:t>
      </w:r>
      <w:proofErr w:type="gramEnd"/>
      <w:r w:rsidRPr="006D2B2D">
        <w:rPr>
          <w:smallCaps/>
        </w:rPr>
        <w:t xml:space="preserve"> Giannini</w:t>
      </w:r>
      <w:r w:rsidRPr="006D2B2D">
        <w:t xml:space="preserve">, </w:t>
      </w:r>
      <w:r w:rsidRPr="006D2B2D">
        <w:rPr>
          <w:i/>
        </w:rPr>
        <w:t>Lezioni di diritto amministrativo</w:t>
      </w:r>
      <w:r w:rsidRPr="006D2B2D">
        <w:t>, Milano, 1950, 102.</w:t>
      </w:r>
    </w:p>
  </w:footnote>
  <w:footnote w:id="39">
    <w:p w14:paraId="7FFDE7CA" w14:textId="2DECDB25" w:rsidR="00CD6AA0" w:rsidRPr="006D2B2D" w:rsidRDefault="00CD6AA0" w:rsidP="00FE492D">
      <w:pPr>
        <w:autoSpaceDE w:val="0"/>
        <w:autoSpaceDN w:val="0"/>
        <w:adjustRightInd w:val="0"/>
        <w:spacing w:before="120" w:after="0" w:line="240" w:lineRule="auto"/>
        <w:jc w:val="both"/>
        <w:rPr>
          <w:rFonts w:ascii="Times New Roman" w:hAnsi="Times New Roman" w:cs="Times New Roman"/>
          <w:sz w:val="20"/>
          <w:szCs w:val="20"/>
        </w:rPr>
      </w:pPr>
      <w:r w:rsidRPr="006D2B2D">
        <w:rPr>
          <w:rStyle w:val="Rimandonotaapidipagina"/>
          <w:rFonts w:ascii="Times New Roman" w:hAnsi="Times New Roman" w:cs="Times New Roman"/>
          <w:sz w:val="20"/>
          <w:szCs w:val="20"/>
        </w:rPr>
        <w:footnoteRef/>
      </w:r>
      <w:r w:rsidRPr="006D2B2D">
        <w:rPr>
          <w:rFonts w:ascii="Times New Roman" w:hAnsi="Times New Roman" w:cs="Times New Roman"/>
          <w:sz w:val="20"/>
          <w:szCs w:val="20"/>
        </w:rPr>
        <w:t xml:space="preserve"> Nella sentenza del 2 luglio 1956, n. 8 la Consulta richiama i seguenti criteri: «</w:t>
      </w:r>
      <w:r w:rsidRPr="0074061F">
        <w:rPr>
          <w:rFonts w:ascii="Times New Roman" w:hAnsi="Times New Roman" w:cs="Times New Roman"/>
          <w:i/>
          <w:sz w:val="20"/>
          <w:szCs w:val="20"/>
        </w:rPr>
        <w:t xml:space="preserve">efficacia limitata nel tempo </w:t>
      </w:r>
      <w:proofErr w:type="gramStart"/>
      <w:r w:rsidRPr="0074061F">
        <w:rPr>
          <w:rFonts w:ascii="Times New Roman" w:hAnsi="Times New Roman" w:cs="Times New Roman"/>
          <w:i/>
          <w:sz w:val="20"/>
          <w:szCs w:val="20"/>
        </w:rPr>
        <w:t>in relazione ai</w:t>
      </w:r>
      <w:proofErr w:type="gramEnd"/>
      <w:r w:rsidRPr="0074061F">
        <w:rPr>
          <w:rFonts w:ascii="Times New Roman" w:hAnsi="Times New Roman" w:cs="Times New Roman"/>
          <w:i/>
          <w:sz w:val="20"/>
          <w:szCs w:val="20"/>
        </w:rPr>
        <w:t xml:space="preserve"> dettami della necessità e dell’urgenza; adeguata motivazione; efficace pubblicazione nei casi in cui il provvedimento non abbia carattere individuale; conformità del provvedimento stesso ai princìpi dell’ordinamento giuridico</w:t>
      </w:r>
      <w:r w:rsidRPr="006D2B2D">
        <w:rPr>
          <w:rFonts w:ascii="Times New Roman" w:hAnsi="Times New Roman" w:cs="Times New Roman"/>
          <w:sz w:val="20"/>
          <w:szCs w:val="20"/>
        </w:rPr>
        <w:t xml:space="preserve">». Sui limiti costituzionali che </w:t>
      </w:r>
      <w:proofErr w:type="gramStart"/>
      <w:r w:rsidRPr="006D2B2D">
        <w:rPr>
          <w:rFonts w:ascii="Times New Roman" w:hAnsi="Times New Roman" w:cs="Times New Roman"/>
          <w:sz w:val="20"/>
          <w:szCs w:val="20"/>
        </w:rPr>
        <w:t>debbono</w:t>
      </w:r>
      <w:proofErr w:type="gramEnd"/>
      <w:r w:rsidRPr="006D2B2D">
        <w:rPr>
          <w:rFonts w:ascii="Times New Roman" w:hAnsi="Times New Roman" w:cs="Times New Roman"/>
          <w:sz w:val="20"/>
          <w:szCs w:val="20"/>
        </w:rPr>
        <w:t xml:space="preserve"> osservare le norme di legge che prevedono il potere di ordinanza (anche se con riferimento alle ordinanze prefettizie </w:t>
      </w:r>
      <w:r w:rsidRPr="006D2B2D">
        <w:rPr>
          <w:rFonts w:ascii="Times New Roman" w:hAnsi="Times New Roman" w:cs="Times New Roman"/>
          <w:i/>
          <w:sz w:val="20"/>
          <w:szCs w:val="20"/>
        </w:rPr>
        <w:t xml:space="preserve">ex </w:t>
      </w:r>
      <w:r w:rsidRPr="006D2B2D">
        <w:rPr>
          <w:rFonts w:ascii="Times New Roman" w:hAnsi="Times New Roman" w:cs="Times New Roman"/>
          <w:sz w:val="20"/>
          <w:szCs w:val="20"/>
        </w:rPr>
        <w:t xml:space="preserve">art. 2 </w:t>
      </w:r>
      <w:proofErr w:type="spellStart"/>
      <w:r w:rsidRPr="006D2B2D">
        <w:rPr>
          <w:rFonts w:ascii="Times New Roman" w:hAnsi="Times New Roman" w:cs="Times New Roman"/>
          <w:sz w:val="20"/>
          <w:szCs w:val="20"/>
        </w:rPr>
        <w:t>t.u.l.p.s</w:t>
      </w:r>
      <w:proofErr w:type="spellEnd"/>
      <w:r w:rsidRPr="006D2B2D">
        <w:rPr>
          <w:rFonts w:ascii="Times New Roman" w:hAnsi="Times New Roman" w:cs="Times New Roman"/>
          <w:sz w:val="20"/>
          <w:szCs w:val="20"/>
        </w:rPr>
        <w:t xml:space="preserve">., </w:t>
      </w:r>
      <w:proofErr w:type="spellStart"/>
      <w:r w:rsidRPr="006D2B2D">
        <w:rPr>
          <w:rFonts w:ascii="Times New Roman" w:hAnsi="Times New Roman" w:cs="Times New Roman"/>
          <w:sz w:val="20"/>
          <w:szCs w:val="20"/>
        </w:rPr>
        <w:t>r.d.</w:t>
      </w:r>
      <w:proofErr w:type="spellEnd"/>
      <w:r w:rsidRPr="006D2B2D">
        <w:rPr>
          <w:rFonts w:ascii="Times New Roman" w:hAnsi="Times New Roman" w:cs="Times New Roman"/>
          <w:sz w:val="20"/>
          <w:szCs w:val="20"/>
        </w:rPr>
        <w:t xml:space="preserve"> 18 giugno 1931 n. 773) cfr. Corte </w:t>
      </w:r>
      <w:proofErr w:type="spellStart"/>
      <w:proofErr w:type="gramStart"/>
      <w:r w:rsidRPr="006D2B2D">
        <w:rPr>
          <w:rFonts w:ascii="Times New Roman" w:hAnsi="Times New Roman" w:cs="Times New Roman"/>
          <w:sz w:val="20"/>
          <w:szCs w:val="20"/>
        </w:rPr>
        <w:t>cost</w:t>
      </w:r>
      <w:proofErr w:type="spellEnd"/>
      <w:r w:rsidRPr="006D2B2D">
        <w:rPr>
          <w:rFonts w:ascii="Times New Roman" w:hAnsi="Times New Roman" w:cs="Times New Roman"/>
          <w:sz w:val="20"/>
          <w:szCs w:val="20"/>
        </w:rPr>
        <w:t>.</w:t>
      </w:r>
      <w:proofErr w:type="gramEnd"/>
      <w:r w:rsidRPr="006D2B2D">
        <w:rPr>
          <w:rFonts w:ascii="Times New Roman" w:hAnsi="Times New Roman" w:cs="Times New Roman"/>
          <w:sz w:val="20"/>
          <w:szCs w:val="20"/>
        </w:rPr>
        <w:t xml:space="preserve"> 27 maggio 1961, n. 26; nonché Corte </w:t>
      </w:r>
      <w:proofErr w:type="spellStart"/>
      <w:r w:rsidRPr="006D2B2D">
        <w:rPr>
          <w:rFonts w:ascii="Times New Roman" w:hAnsi="Times New Roman" w:cs="Times New Roman"/>
          <w:sz w:val="20"/>
          <w:szCs w:val="20"/>
        </w:rPr>
        <w:t>cost</w:t>
      </w:r>
      <w:proofErr w:type="spellEnd"/>
      <w:r w:rsidRPr="006D2B2D">
        <w:rPr>
          <w:rFonts w:ascii="Times New Roman" w:hAnsi="Times New Roman" w:cs="Times New Roman"/>
          <w:sz w:val="20"/>
          <w:szCs w:val="20"/>
        </w:rPr>
        <w:t>., 4 gennaio 1977, n. 4.</w:t>
      </w:r>
    </w:p>
  </w:footnote>
  <w:footnote w:id="40">
    <w:p w14:paraId="2ED9B4DE" w14:textId="77777777" w:rsidR="00CD6AA0" w:rsidRPr="006D2B2D" w:rsidRDefault="00CD6AA0" w:rsidP="00FE492D">
      <w:pPr>
        <w:pStyle w:val="Testonotaapidipagina"/>
        <w:spacing w:before="120"/>
      </w:pPr>
      <w:r w:rsidRPr="006D2B2D">
        <w:rPr>
          <w:rStyle w:val="Rimandonotaapidipagina"/>
        </w:rPr>
        <w:footnoteRef/>
      </w:r>
      <w:r w:rsidRPr="006D2B2D">
        <w:t xml:space="preserve"> Art. 6 d.l. 23 maggio 2008, n. 92.</w:t>
      </w:r>
    </w:p>
  </w:footnote>
  <w:footnote w:id="41">
    <w:p w14:paraId="27564962" w14:textId="51EB9BAB" w:rsidR="00CD6AA0" w:rsidRPr="006D2B2D" w:rsidRDefault="00CD6AA0" w:rsidP="00FE492D">
      <w:pPr>
        <w:pStyle w:val="Testonotaapidipagina"/>
        <w:spacing w:before="120"/>
        <w:jc w:val="both"/>
      </w:pPr>
      <w:r w:rsidRPr="006D2B2D">
        <w:rPr>
          <w:rStyle w:val="Rimandonotaapidipagina"/>
        </w:rPr>
        <w:footnoteRef/>
      </w:r>
      <w:r w:rsidRPr="006D2B2D">
        <w:t xml:space="preserve"> Sui poteri amministrativi in materia di sicurezza urbana si veda </w:t>
      </w:r>
      <w:r w:rsidRPr="006D2B2D">
        <w:rPr>
          <w:smallCaps/>
        </w:rPr>
        <w:t>A.</w:t>
      </w:r>
      <w:r>
        <w:rPr>
          <w:smallCaps/>
        </w:rPr>
        <w:t xml:space="preserve"> </w:t>
      </w:r>
      <w:proofErr w:type="spellStart"/>
      <w:r w:rsidRPr="006D2B2D">
        <w:rPr>
          <w:smallCaps/>
        </w:rPr>
        <w:t>Pajno</w:t>
      </w:r>
      <w:proofErr w:type="spellEnd"/>
      <w:r w:rsidRPr="006D2B2D">
        <w:t xml:space="preserve">, </w:t>
      </w:r>
      <w:r w:rsidRPr="006D2B2D">
        <w:rPr>
          <w:i/>
        </w:rPr>
        <w:t>La «sicurezza urbana» tra poteri impliciti e inflazione normativa,</w:t>
      </w:r>
      <w:r w:rsidRPr="006D2B2D">
        <w:t xml:space="preserve"> in A. </w:t>
      </w:r>
      <w:proofErr w:type="spellStart"/>
      <w:r w:rsidRPr="006D2B2D">
        <w:t>Pajno</w:t>
      </w:r>
      <w:proofErr w:type="spellEnd"/>
      <w:r w:rsidRPr="006D2B2D">
        <w:t xml:space="preserve"> (a cura di), </w:t>
      </w:r>
      <w:r w:rsidRPr="006D2B2D">
        <w:rPr>
          <w:i/>
        </w:rPr>
        <w:t>La sicurezza urbana</w:t>
      </w:r>
      <w:r w:rsidRPr="006D2B2D">
        <w:t>, Rimini, 2010, 19</w:t>
      </w:r>
      <w:r>
        <w:t xml:space="preserve">; </w:t>
      </w:r>
      <w:r w:rsidRPr="00885163">
        <w:rPr>
          <w:smallCaps/>
        </w:rPr>
        <w:t>G. Tropea</w:t>
      </w:r>
      <w:r w:rsidRPr="00885163">
        <w:t xml:space="preserve">, </w:t>
      </w:r>
      <w:r w:rsidRPr="00885163">
        <w:rPr>
          <w:i/>
        </w:rPr>
        <w:t xml:space="preserve">Sicurezza e </w:t>
      </w:r>
      <w:proofErr w:type="spellStart"/>
      <w:r w:rsidRPr="00885163">
        <w:rPr>
          <w:i/>
        </w:rPr>
        <w:t>sussidarietà</w:t>
      </w:r>
      <w:proofErr w:type="spellEnd"/>
      <w:r w:rsidRPr="00885163">
        <w:t>, Napoli, 2010</w:t>
      </w:r>
      <w:r>
        <w:t xml:space="preserve">; </w:t>
      </w:r>
      <w:proofErr w:type="gramStart"/>
      <w:r>
        <w:rPr>
          <w:smallCaps/>
        </w:rPr>
        <w:t>Id.</w:t>
      </w:r>
      <w:proofErr w:type="gramEnd"/>
      <w:r>
        <w:t xml:space="preserve">, </w:t>
      </w:r>
      <w:r w:rsidRPr="006209A4">
        <w:rPr>
          <w:i/>
        </w:rPr>
        <w:t>La sicurezza urbana, le ronde, e il disagio (sociale) della Corte</w:t>
      </w:r>
      <w:r w:rsidRPr="006209A4">
        <w:t xml:space="preserve">, in </w:t>
      </w:r>
      <w:r>
        <w:rPr>
          <w:i/>
        </w:rPr>
        <w:t xml:space="preserve">Dir. </w:t>
      </w:r>
      <w:proofErr w:type="spellStart"/>
      <w:proofErr w:type="gramStart"/>
      <w:r>
        <w:rPr>
          <w:i/>
        </w:rPr>
        <w:t>amm</w:t>
      </w:r>
      <w:proofErr w:type="spellEnd"/>
      <w:proofErr w:type="gramEnd"/>
      <w:r w:rsidRPr="006209A4">
        <w:t>, 2011, 55 ss.</w:t>
      </w:r>
    </w:p>
  </w:footnote>
  <w:footnote w:id="42">
    <w:p w14:paraId="1F4F87CE" w14:textId="3EF5D0BB" w:rsidR="00CD6AA0" w:rsidRPr="006D2B2D" w:rsidRDefault="00CD6AA0" w:rsidP="00FE492D">
      <w:pPr>
        <w:pStyle w:val="Testonotaapidipagina"/>
        <w:spacing w:before="120"/>
        <w:jc w:val="both"/>
      </w:pPr>
      <w:r w:rsidRPr="006D2B2D">
        <w:rPr>
          <w:rStyle w:val="Rimandonotaapidipagina"/>
        </w:rPr>
        <w:footnoteRef/>
      </w:r>
      <w:r w:rsidRPr="006D2B2D">
        <w:t xml:space="preserve"> Decreto 5 agosto 2008 n. 33086 (in GU n. 186 del 9 agosto 2008), </w:t>
      </w:r>
      <w:proofErr w:type="gramStart"/>
      <w:r w:rsidRPr="006D2B2D">
        <w:t>«</w:t>
      </w:r>
      <w:proofErr w:type="gramEnd"/>
      <w:r w:rsidRPr="0077246C">
        <w:rPr>
          <w:i/>
        </w:rPr>
        <w:t>Incolumità pubblica e sicurezza urbana. Interventi del sindaco</w:t>
      </w:r>
      <w:r w:rsidRPr="006D2B2D">
        <w:t>». Ai sensi dell’art. 1</w:t>
      </w:r>
      <w:r>
        <w:t>,</w:t>
      </w:r>
      <w:r w:rsidRPr="006D2B2D">
        <w:t xml:space="preserve"> «</w:t>
      </w:r>
      <w:r w:rsidRPr="0077246C">
        <w:rPr>
          <w:i/>
        </w:rPr>
        <w:t xml:space="preserve">per incolumità pubblica </w:t>
      </w:r>
      <w:proofErr w:type="gramStart"/>
      <w:r w:rsidRPr="0077246C">
        <w:rPr>
          <w:i/>
        </w:rPr>
        <w:t xml:space="preserve">si </w:t>
      </w:r>
      <w:proofErr w:type="gramEnd"/>
      <w:r w:rsidRPr="0077246C">
        <w:rPr>
          <w:i/>
        </w:rPr>
        <w:t>intende l’integrità fisica della popolazione e per sicurezza urbana un bene pubblico da tutelare attraverso attività poste a difesa, nell’ambito delle comunità locali del rispetto delle norme che regolano la vita civile, per migliorare le condizioni di vivibilità nei centri urbani, la convivenza civile e la coesione sociale</w:t>
      </w:r>
      <w:r w:rsidRPr="006D2B2D">
        <w:t xml:space="preserve">». </w:t>
      </w:r>
    </w:p>
  </w:footnote>
  <w:footnote w:id="43">
    <w:p w14:paraId="4919A3C1" w14:textId="5015355C" w:rsidR="00CD6AA0" w:rsidRPr="006D2B2D" w:rsidRDefault="00CD6AA0" w:rsidP="00FE492D">
      <w:pPr>
        <w:pStyle w:val="Testonotaapidipagina"/>
        <w:spacing w:before="120"/>
        <w:jc w:val="both"/>
      </w:pPr>
      <w:r w:rsidRPr="006D2B2D">
        <w:rPr>
          <w:rStyle w:val="Rimandonotaapidipagina"/>
        </w:rPr>
        <w:footnoteRef/>
      </w:r>
      <w:r w:rsidRPr="006D2B2D">
        <w:t xml:space="preserve"> L’art. 2 del </w:t>
      </w:r>
      <w:proofErr w:type="spellStart"/>
      <w:r w:rsidRPr="006D2B2D">
        <w:t>d.m.</w:t>
      </w:r>
      <w:proofErr w:type="spellEnd"/>
      <w:r w:rsidRPr="006D2B2D">
        <w:t xml:space="preserve"> 33086 del 5 agosto 2008 individuava molteplici ambiti di applicazione del potere di ordinanza</w:t>
      </w:r>
      <w:proofErr w:type="gramStart"/>
      <w:r w:rsidRPr="006D2B2D">
        <w:t xml:space="preserve"> :</w:t>
      </w:r>
      <w:proofErr w:type="gramEnd"/>
      <w:r w:rsidRPr="006D2B2D">
        <w:t>«</w:t>
      </w:r>
      <w:r w:rsidRPr="00C6343A">
        <w:rPr>
          <w:i/>
        </w:rPr>
        <w:t>a) le situazioni urbane di degrado o di isolamento che favoriscono l’insorgere di fenomeni criminosi, quali lo spaccio di stupefacenti, lo sfruttamento della prostituzione, l’accattonaggio con impiego di minori e disabili e i fenomeni di violenza legati anche all’abuso di alcool; b) le situazioni in cui si verificano comportamenti quali il danneggiamento al patrimonio pubblico e privato o che ne impediscono la fruibilità e determinano lo scadimento della qualità urbana; c) l’incuria, il degrado e l’occupazione abusiva di immobili tali da favorire le situazioni indicate ai punti a) e b); d) le situazioni che costituiscono intralcio alla pubblica viabilità o che alterano il decoro urbano, in particolare quelle di abusivismo commerciale e di illecita occupazione di suolo pubblico; e) i comportamenti che, come la prostituzione su strada o l’accattonaggio molesto, possono offendere la pubblica decenza anche per le modalità con cui si manifestano, ovvero turbano gravemente il libero utilizzo degli spazi pubblici o la fruizione cui sono destinati o che rendono difficoltoso o pericoloso l’accesso ad essi</w:t>
      </w:r>
      <w:r w:rsidRPr="006D2B2D">
        <w:t>».</w:t>
      </w:r>
    </w:p>
  </w:footnote>
  <w:footnote w:id="44">
    <w:p w14:paraId="152ADB29" w14:textId="77777777" w:rsidR="00CD6AA0" w:rsidRDefault="00CD6AA0" w:rsidP="00FE492D">
      <w:pPr>
        <w:pStyle w:val="Testonotaapidipagina"/>
        <w:spacing w:before="120"/>
        <w:jc w:val="both"/>
      </w:pPr>
      <w:r w:rsidRPr="006D2B2D">
        <w:rPr>
          <w:rStyle w:val="Rimandonotaapidipagina"/>
        </w:rPr>
        <w:footnoteRef/>
      </w:r>
      <w:r w:rsidRPr="006D2B2D">
        <w:rPr>
          <w:lang w:val="en-US"/>
        </w:rPr>
        <w:t xml:space="preserve"> </w:t>
      </w:r>
      <w:proofErr w:type="gramStart"/>
      <w:r w:rsidRPr="006D2B2D">
        <w:rPr>
          <w:lang w:val="en-US"/>
        </w:rPr>
        <w:t xml:space="preserve">In </w:t>
      </w:r>
      <w:proofErr w:type="spellStart"/>
      <w:r w:rsidRPr="006D2B2D">
        <w:rPr>
          <w:i/>
          <w:lang w:val="en-US"/>
        </w:rPr>
        <w:t>Foro</w:t>
      </w:r>
      <w:proofErr w:type="spellEnd"/>
      <w:r w:rsidRPr="006D2B2D">
        <w:rPr>
          <w:i/>
          <w:lang w:val="en-US"/>
        </w:rPr>
        <w:t xml:space="preserve"> </w:t>
      </w:r>
      <w:proofErr w:type="spellStart"/>
      <w:r w:rsidRPr="006D2B2D">
        <w:rPr>
          <w:i/>
          <w:lang w:val="en-US"/>
        </w:rPr>
        <w:t>amm</w:t>
      </w:r>
      <w:proofErr w:type="spellEnd"/>
      <w:r w:rsidRPr="006D2B2D">
        <w:rPr>
          <w:i/>
          <w:lang w:val="en-US"/>
        </w:rPr>
        <w:t>.</w:t>
      </w:r>
      <w:proofErr w:type="gramEnd"/>
      <w:r w:rsidRPr="006D2B2D">
        <w:rPr>
          <w:i/>
          <w:lang w:val="en-US"/>
        </w:rPr>
        <w:t xml:space="preserve"> – </w:t>
      </w:r>
      <w:proofErr w:type="spellStart"/>
      <w:r>
        <w:rPr>
          <w:i/>
          <w:lang w:val="en-US"/>
        </w:rPr>
        <w:t>CdS</w:t>
      </w:r>
      <w:proofErr w:type="spellEnd"/>
      <w:r w:rsidRPr="006D2B2D">
        <w:t>, 2011, 1428 ss.</w:t>
      </w:r>
      <w:r>
        <w:t>,</w:t>
      </w:r>
      <w:r w:rsidRPr="006D2B2D">
        <w:t xml:space="preserve"> nonché in </w:t>
      </w:r>
      <w:r w:rsidRPr="006D2B2D">
        <w:rPr>
          <w:i/>
        </w:rPr>
        <w:t xml:space="preserve">Giur. </w:t>
      </w:r>
      <w:proofErr w:type="spellStart"/>
      <w:proofErr w:type="gramStart"/>
      <w:r>
        <w:rPr>
          <w:i/>
        </w:rPr>
        <w:t>c</w:t>
      </w:r>
      <w:r w:rsidRPr="006D2B2D">
        <w:rPr>
          <w:i/>
        </w:rPr>
        <w:t>ost</w:t>
      </w:r>
      <w:proofErr w:type="spellEnd"/>
      <w:r w:rsidRPr="006D2B2D">
        <w:rPr>
          <w:i/>
        </w:rPr>
        <w:t>.</w:t>
      </w:r>
      <w:proofErr w:type="gramEnd"/>
      <w:r w:rsidRPr="006D2B2D">
        <w:rPr>
          <w:i/>
        </w:rPr>
        <w:t xml:space="preserve">, </w:t>
      </w:r>
      <w:r w:rsidRPr="006D2B2D">
        <w:t xml:space="preserve">2011, 1581 ss. con nota di V. </w:t>
      </w:r>
      <w:proofErr w:type="spellStart"/>
      <w:r w:rsidRPr="006D2B2D">
        <w:rPr>
          <w:smallCaps/>
        </w:rPr>
        <w:t>Cerulli</w:t>
      </w:r>
      <w:proofErr w:type="spellEnd"/>
      <w:r w:rsidRPr="006D2B2D">
        <w:rPr>
          <w:smallCaps/>
        </w:rPr>
        <w:t xml:space="preserve"> Irelli, </w:t>
      </w:r>
      <w:r w:rsidRPr="006D2B2D">
        <w:rPr>
          <w:i/>
        </w:rPr>
        <w:t>Sindaco legislatore?</w:t>
      </w:r>
      <w:r w:rsidRPr="006D2B2D">
        <w:t xml:space="preserve">, cit. </w:t>
      </w:r>
    </w:p>
    <w:p w14:paraId="77AC0C9C" w14:textId="608D6335" w:rsidR="00CD6AA0" w:rsidRPr="006D2B2D" w:rsidRDefault="00CD6AA0" w:rsidP="00B430AD">
      <w:pPr>
        <w:pStyle w:val="Testonotaapidipagina"/>
        <w:jc w:val="both"/>
      </w:pPr>
      <w:r w:rsidRPr="006D2B2D">
        <w:t>Per un commento alla sentenza</w:t>
      </w:r>
      <w:r>
        <w:t xml:space="preserve"> nella prospettiva della configurabilità di nuovi ambiti del potere sindacale di ordinanza,</w:t>
      </w:r>
      <w:r w:rsidRPr="006D2B2D">
        <w:t xml:space="preserve"> cfr. </w:t>
      </w:r>
      <w:r w:rsidRPr="00D9297D">
        <w:rPr>
          <w:smallCaps/>
        </w:rPr>
        <w:t>G. Meloni</w:t>
      </w:r>
      <w:r w:rsidRPr="00D9297D">
        <w:t xml:space="preserve">, </w:t>
      </w:r>
      <w:r w:rsidRPr="00D9297D">
        <w:rPr>
          <w:i/>
        </w:rPr>
        <w:t>Le ordinanza (forse non solo) ordinarie dei sindaci in materia di sicurezza urbana tra legalità sostanziale e riserve relative (Il detto e il non detto nella sentenza n. 115/2011</w:t>
      </w:r>
      <w:r>
        <w:rPr>
          <w:i/>
        </w:rPr>
        <w:t xml:space="preserve"> </w:t>
      </w:r>
      <w:r w:rsidRPr="00D9297D">
        <w:rPr>
          <w:i/>
        </w:rPr>
        <w:t>della Corte costituzionale)</w:t>
      </w:r>
      <w:r w:rsidRPr="00D9297D">
        <w:t xml:space="preserve">, in </w:t>
      </w:r>
      <w:r w:rsidRPr="00D9297D">
        <w:rPr>
          <w:i/>
        </w:rPr>
        <w:t>www.federalismi.it</w:t>
      </w:r>
      <w:r w:rsidRPr="00D9297D">
        <w:t xml:space="preserve"> </w:t>
      </w:r>
      <w:r>
        <w:t>(</w:t>
      </w:r>
      <w:r w:rsidRPr="00D9297D">
        <w:t>12 luglio 2011</w:t>
      </w:r>
      <w:r>
        <w:t xml:space="preserve">); </w:t>
      </w:r>
      <w:r w:rsidRPr="006D2B2D">
        <w:t xml:space="preserve">G. </w:t>
      </w:r>
      <w:proofErr w:type="spellStart"/>
      <w:r w:rsidRPr="006D2B2D">
        <w:rPr>
          <w:smallCaps/>
        </w:rPr>
        <w:t>Iacovone</w:t>
      </w:r>
      <w:proofErr w:type="spellEnd"/>
      <w:r w:rsidRPr="006D2B2D">
        <w:rPr>
          <w:smallCaps/>
        </w:rPr>
        <w:t xml:space="preserve">, </w:t>
      </w:r>
      <w:r w:rsidRPr="006D2B2D">
        <w:rPr>
          <w:i/>
          <w:smallCaps/>
        </w:rPr>
        <w:t xml:space="preserve">I </w:t>
      </w:r>
      <w:r w:rsidRPr="006D2B2D">
        <w:rPr>
          <w:i/>
        </w:rPr>
        <w:t>poteri dei sindaci in materia di sicurezza urbana ed il nuovo orientamento della Corte costituzionale sul principio di legalità</w:t>
      </w:r>
      <w:r w:rsidRPr="006D2B2D">
        <w:t xml:space="preserve">, in </w:t>
      </w:r>
      <w:hyperlink r:id="rId6" w:history="1">
        <w:r w:rsidRPr="006D2B2D">
          <w:rPr>
            <w:rStyle w:val="Collegamentoipertestuale"/>
            <w:i/>
            <w:color w:val="auto"/>
            <w:u w:val="none"/>
          </w:rPr>
          <w:t>www.democraziaesicurezza.it</w:t>
        </w:r>
      </w:hyperlink>
      <w:r w:rsidRPr="006D2B2D">
        <w:rPr>
          <w:i/>
        </w:rPr>
        <w:t xml:space="preserve"> </w:t>
      </w:r>
      <w:r w:rsidRPr="006D2B2D">
        <w:t>(28 febbraio 2012).</w:t>
      </w:r>
    </w:p>
  </w:footnote>
  <w:footnote w:id="45">
    <w:p w14:paraId="1E6CB349" w14:textId="683C0309" w:rsidR="00CD6AA0" w:rsidRPr="006D2B2D" w:rsidRDefault="00CD6AA0" w:rsidP="00FE492D">
      <w:pPr>
        <w:pStyle w:val="Testonotaapidipagina"/>
        <w:spacing w:before="120"/>
        <w:jc w:val="both"/>
      </w:pPr>
      <w:r w:rsidRPr="006D2B2D">
        <w:rPr>
          <w:rStyle w:val="Rimandonotaapidipagina"/>
        </w:rPr>
        <w:footnoteRef/>
      </w:r>
      <w:r w:rsidRPr="006D2B2D">
        <w:t xml:space="preserve"> La Consulta, ha osservato che la disposizione impugnata,: </w:t>
      </w:r>
      <w:proofErr w:type="gramStart"/>
      <w:r w:rsidRPr="006D2B2D">
        <w:t>«</w:t>
      </w:r>
      <w:proofErr w:type="gramEnd"/>
      <w:r w:rsidRPr="00DC3694">
        <w:rPr>
          <w:i/>
        </w:rPr>
        <w:t xml:space="preserve">nel prevedere un potere di ordinanza dei sindaci, quali ufficiali del Governo, non limitato ai casi contingibili e urgenti </w:t>
      </w:r>
      <w:r>
        <w:rPr>
          <w:i/>
        </w:rPr>
        <w:t>-</w:t>
      </w:r>
      <w:r w:rsidRPr="00DC3694">
        <w:rPr>
          <w:i/>
        </w:rPr>
        <w:t>pur non attribuendo agli stessi il potere di derogare, in via ordinaria e temporalmente non definita, a norme primarie e secondarie vigenti</w:t>
      </w:r>
      <w:r>
        <w:rPr>
          <w:i/>
        </w:rPr>
        <w:t>-</w:t>
      </w:r>
      <w:r w:rsidRPr="00DC3694">
        <w:rPr>
          <w:i/>
        </w:rPr>
        <w:t xml:space="preserve"> viola la riserva di legge relativa, di cui all’art. 23 </w:t>
      </w:r>
      <w:proofErr w:type="spellStart"/>
      <w:r w:rsidRPr="00DC3694">
        <w:rPr>
          <w:i/>
        </w:rPr>
        <w:t>Cost</w:t>
      </w:r>
      <w:proofErr w:type="spellEnd"/>
      <w:r w:rsidRPr="00DC3694">
        <w:rPr>
          <w:i/>
        </w:rPr>
        <w:t xml:space="preserve">., </w:t>
      </w:r>
      <w:proofErr w:type="gramStart"/>
      <w:r w:rsidRPr="00DC3694">
        <w:rPr>
          <w:i/>
        </w:rPr>
        <w:t>in quanto</w:t>
      </w:r>
      <w:proofErr w:type="gramEnd"/>
      <w:r w:rsidRPr="00DC3694">
        <w:rPr>
          <w:i/>
        </w:rPr>
        <w:t xml:space="preserve"> non prevede una qualunque delimitazione della discrezionalità amministrativa in un ambito, quello della imposizione di comportamenti, che rientra nella generale sfera di libertà dei consociati. Questi ultimi sono tenuti, secondo un principio supremo dello Stato di diritto, a sottostare soltanto agli obblighi di fare, di non </w:t>
      </w:r>
      <w:proofErr w:type="gramStart"/>
      <w:r w:rsidRPr="00DC3694">
        <w:rPr>
          <w:i/>
        </w:rPr>
        <w:t>fare</w:t>
      </w:r>
      <w:proofErr w:type="gramEnd"/>
      <w:r w:rsidRPr="00DC3694">
        <w:rPr>
          <w:i/>
        </w:rPr>
        <w:t xml:space="preserve"> o di dare previsti in via generale dalla legge</w:t>
      </w:r>
      <w:r w:rsidRPr="006D2B2D">
        <w:t>».</w:t>
      </w:r>
    </w:p>
  </w:footnote>
  <w:footnote w:id="46">
    <w:p w14:paraId="4B26BFAD" w14:textId="28A28E59" w:rsidR="00CD6AA0" w:rsidRPr="006D2B2D" w:rsidRDefault="00CD6AA0" w:rsidP="00FE492D">
      <w:pPr>
        <w:pStyle w:val="Testonotaapidipagina"/>
        <w:spacing w:before="120"/>
        <w:jc w:val="both"/>
      </w:pPr>
      <w:r w:rsidRPr="006D2B2D">
        <w:rPr>
          <w:rStyle w:val="Rimandonotaapidipagina"/>
        </w:rPr>
        <w:footnoteRef/>
      </w:r>
      <w:r>
        <w:t xml:space="preserve"> </w:t>
      </w:r>
      <w:r w:rsidRPr="006D2B2D">
        <w:t xml:space="preserve">Recentemente, ad esempio, il Consiglio di Stato ha affermato la legittimità dell’ordinanza sindacale </w:t>
      </w:r>
      <w:r w:rsidRPr="006D2B2D">
        <w:rPr>
          <w:i/>
        </w:rPr>
        <w:t>ex art.</w:t>
      </w:r>
      <w:r w:rsidRPr="006D2B2D">
        <w:t xml:space="preserve"> 54 che imponeva oneri di bonifica e messa in sicurezza della falda sottostante la discarica di Malagrotta (nei pressi di Roma) per far fronte </w:t>
      </w:r>
      <w:proofErr w:type="gramStart"/>
      <w:r w:rsidRPr="006D2B2D">
        <w:t>ad</w:t>
      </w:r>
      <w:proofErr w:type="gramEnd"/>
      <w:r w:rsidRPr="006D2B2D">
        <w:t xml:space="preserve"> un inquinamento noto da anni (sez. V, 4 febbraio 2015, n. 533); ovvero dell’ordinanza con la quale si imponeva all’appaltatore -il cui cantiere occupava da oltre 4 anni parte di una pista ciclabile- di realizzare un percorso ciclabile alternativo (sez. V, 25 maggio 2012, n. 3077). Ma cfr. anche </w:t>
      </w:r>
      <w:proofErr w:type="gramStart"/>
      <w:r w:rsidRPr="006D2B2D">
        <w:t>Cons.</w:t>
      </w:r>
      <w:proofErr w:type="gramEnd"/>
      <w:r w:rsidRPr="006D2B2D">
        <w:t xml:space="preserve"> Stato, sez. IV, 6 dicembre 2011, n. 6414; id., sez. VI, 28 gennaio 2011, n.654 in </w:t>
      </w:r>
      <w:r w:rsidRPr="006D2B2D">
        <w:rPr>
          <w:i/>
        </w:rPr>
        <w:t xml:space="preserve">Foro </w:t>
      </w:r>
      <w:proofErr w:type="spellStart"/>
      <w:r w:rsidRPr="006D2B2D">
        <w:rPr>
          <w:i/>
        </w:rPr>
        <w:t>amm</w:t>
      </w:r>
      <w:proofErr w:type="spellEnd"/>
      <w:r w:rsidRPr="006D2B2D">
        <w:rPr>
          <w:i/>
        </w:rPr>
        <w:t>.</w:t>
      </w:r>
      <w:r>
        <w:rPr>
          <w:i/>
        </w:rPr>
        <w:t xml:space="preserve"> -</w:t>
      </w:r>
      <w:r w:rsidRPr="006D2B2D">
        <w:rPr>
          <w:i/>
        </w:rPr>
        <w:t xml:space="preserve"> </w:t>
      </w:r>
      <w:proofErr w:type="spellStart"/>
      <w:r w:rsidRPr="006D2B2D">
        <w:rPr>
          <w:i/>
        </w:rPr>
        <w:t>C</w:t>
      </w:r>
      <w:r>
        <w:rPr>
          <w:i/>
        </w:rPr>
        <w:t>d</w:t>
      </w:r>
      <w:r w:rsidRPr="006D2B2D">
        <w:rPr>
          <w:i/>
        </w:rPr>
        <w:t>S</w:t>
      </w:r>
      <w:proofErr w:type="spellEnd"/>
      <w:r w:rsidRPr="006D2B2D">
        <w:t>, 2011, 262; id., sez. V, 12 ottobre 2010, n.7411.</w:t>
      </w:r>
    </w:p>
  </w:footnote>
  <w:footnote w:id="47">
    <w:p w14:paraId="2894269E" w14:textId="639B29FA" w:rsidR="00CD6AA0" w:rsidRPr="006D2B2D" w:rsidRDefault="00CD6AA0" w:rsidP="00FE492D">
      <w:pPr>
        <w:pStyle w:val="Testonotaapidipagina"/>
        <w:spacing w:before="120"/>
      </w:pPr>
      <w:r w:rsidRPr="006D2B2D">
        <w:rPr>
          <w:rStyle w:val="Rimandonotaapidipagina"/>
        </w:rPr>
        <w:footnoteRef/>
      </w:r>
      <w:r w:rsidRPr="006D2B2D">
        <w:t xml:space="preserve"> Cons. Stato</w:t>
      </w:r>
      <w:r w:rsidRPr="00C42242">
        <w:t xml:space="preserve">, sez. V, 4 febbraio 2015, n. 533; </w:t>
      </w:r>
      <w:proofErr w:type="gramStart"/>
      <w:r w:rsidRPr="00C42242">
        <w:t>id.</w:t>
      </w:r>
      <w:proofErr w:type="gramEnd"/>
      <w:r w:rsidRPr="00C42242">
        <w:t xml:space="preserve"> 3 giugno 2013, n. 3024</w:t>
      </w:r>
      <w:r w:rsidRPr="006D2B2D">
        <w:t>.</w:t>
      </w:r>
    </w:p>
  </w:footnote>
  <w:footnote w:id="48">
    <w:p w14:paraId="569A3BE9" w14:textId="4519E1FB" w:rsidR="00CD6AA0" w:rsidRPr="006D2B2D" w:rsidRDefault="00CD6AA0" w:rsidP="00FE492D">
      <w:pPr>
        <w:pStyle w:val="Testonotaapidipagina"/>
        <w:spacing w:before="120"/>
        <w:jc w:val="both"/>
      </w:pPr>
      <w:r w:rsidRPr="006D2B2D">
        <w:rPr>
          <w:rStyle w:val="Rimandonotaapidipagina"/>
        </w:rPr>
        <w:footnoteRef/>
      </w:r>
      <w:r w:rsidRPr="006D2B2D">
        <w:t xml:space="preserve"> Ci si riferisce alla sentenza della sez. V, 3 giugno 2013, n. 3024</w:t>
      </w:r>
      <w:proofErr w:type="gramStart"/>
      <w:r w:rsidRPr="006D2B2D">
        <w:t>,</w:t>
      </w:r>
      <w:proofErr w:type="gramEnd"/>
      <w:r w:rsidRPr="006D2B2D">
        <w:t xml:space="preserve">con la quale è stata riconosciuta la legittimità dell’ordinanza contingibile ed urgente adottata dal Sindaco per la demolizione di una rampa per disabili realizzata in difformità dal titolo abilitativo, sebbene, come è noto, in caso di inosservanza dell’ordine di demolizione di un manufatto abusivo l’art.31 del </w:t>
      </w:r>
      <w:proofErr w:type="spellStart"/>
      <w:r w:rsidRPr="006D2B2D">
        <w:t>t.u.</w:t>
      </w:r>
      <w:proofErr w:type="spellEnd"/>
      <w:r w:rsidRPr="006D2B2D">
        <w:t xml:space="preserve"> edilizia preveda lo strumento tipico dell’acquisizione al patrimonio comunale e demolizione in danno.</w:t>
      </w:r>
    </w:p>
  </w:footnote>
  <w:footnote w:id="49">
    <w:p w14:paraId="767AB3B9" w14:textId="581431EF" w:rsidR="00CD6AA0" w:rsidRPr="006D2B2D" w:rsidRDefault="00CD6AA0" w:rsidP="00FE492D">
      <w:pPr>
        <w:pStyle w:val="Testonotaapidipagina"/>
        <w:spacing w:before="120"/>
        <w:jc w:val="both"/>
      </w:pPr>
      <w:r w:rsidRPr="006D2B2D">
        <w:rPr>
          <w:rStyle w:val="Rimandonotaapidipagina"/>
        </w:rPr>
        <w:footnoteRef/>
      </w:r>
      <w:r w:rsidRPr="006D2B2D">
        <w:t xml:space="preserve"> </w:t>
      </w:r>
      <w:proofErr w:type="spellStart"/>
      <w:proofErr w:type="gramStart"/>
      <w:r w:rsidRPr="006D2B2D">
        <w:t>T.a.r</w:t>
      </w:r>
      <w:proofErr w:type="spellEnd"/>
      <w:r w:rsidRPr="006D2B2D">
        <w:t>.</w:t>
      </w:r>
      <w:proofErr w:type="gramEnd"/>
      <w:r w:rsidRPr="006D2B2D">
        <w:t xml:space="preserve"> Campania – Napoli, sez. I, 21 giugno 2005, n.</w:t>
      </w:r>
      <w:r>
        <w:t xml:space="preserve"> </w:t>
      </w:r>
      <w:r w:rsidRPr="006D2B2D">
        <w:t>8328, ove si afferma: «</w:t>
      </w:r>
      <w:r w:rsidRPr="00F756D4">
        <w:rPr>
          <w:i/>
        </w:rPr>
        <w:t>ciò che rileva non è la circostanza, estrinseca, che il pericolo sia correlato ad una situazione preesistente ovvero ad un evento nuovo ed imprevedibile, ma la sussistenza della necessità e della urgenza attuale di intervenire a difesa degli interessi pubblici da tutelare, a prescindere sia dalla prevedibilità che dalla stessa imputabilità all’Amministrazione o a terzi della situazione di pericolo che il provvedimento è rivolto a rimuovere</w:t>
      </w:r>
      <w:r w:rsidRPr="006D2B2D">
        <w:t xml:space="preserve">». In senso contrario </w:t>
      </w:r>
      <w:proofErr w:type="gramStart"/>
      <w:r w:rsidRPr="006D2B2D">
        <w:t>Cons.</w:t>
      </w:r>
      <w:proofErr w:type="gramEnd"/>
      <w:r w:rsidRPr="006D2B2D">
        <w:t xml:space="preserve"> Stato, sez. III, 5 ottobre 2011, n. 5471.</w:t>
      </w:r>
    </w:p>
  </w:footnote>
  <w:footnote w:id="50">
    <w:p w14:paraId="5C4DA954" w14:textId="77777777" w:rsidR="00CD6AA0" w:rsidRPr="006D2B2D" w:rsidRDefault="00CD6AA0" w:rsidP="00FE492D">
      <w:pPr>
        <w:pStyle w:val="Testonotaapidipagina"/>
        <w:spacing w:before="120"/>
      </w:pPr>
      <w:r w:rsidRPr="006D2B2D">
        <w:rPr>
          <w:rStyle w:val="Rimandonotaapidipagina"/>
        </w:rPr>
        <w:footnoteRef/>
      </w:r>
      <w:r w:rsidRPr="006D2B2D">
        <w:t xml:space="preserve"> Corte </w:t>
      </w:r>
      <w:proofErr w:type="spellStart"/>
      <w:proofErr w:type="gramStart"/>
      <w:r w:rsidRPr="006D2B2D">
        <w:t>cost</w:t>
      </w:r>
      <w:proofErr w:type="spellEnd"/>
      <w:r w:rsidRPr="006D2B2D">
        <w:t>.</w:t>
      </w:r>
      <w:proofErr w:type="gramEnd"/>
      <w:r w:rsidRPr="006D2B2D">
        <w:t>, 7 aprile 2011, n. 115, cit.</w:t>
      </w:r>
    </w:p>
  </w:footnote>
  <w:footnote w:id="51">
    <w:p w14:paraId="5B4DB305" w14:textId="77A78AAD" w:rsidR="00CD6AA0" w:rsidRDefault="00CD6AA0">
      <w:pPr>
        <w:pStyle w:val="Testonotaapidipagina"/>
      </w:pPr>
      <w:r>
        <w:rPr>
          <w:rStyle w:val="Rimandonotaapidipagina"/>
        </w:rPr>
        <w:footnoteRef/>
      </w:r>
      <w:r>
        <w:t xml:space="preserve"> Cons. Stato, </w:t>
      </w:r>
      <w:r w:rsidRPr="001F63CC">
        <w:t>sez. V 16 aprile 2013, n. 2094</w:t>
      </w:r>
      <w:r>
        <w:t>.</w:t>
      </w:r>
    </w:p>
  </w:footnote>
  <w:footnote w:id="52">
    <w:p w14:paraId="2A65F5BA" w14:textId="01186FAB" w:rsidR="00CD6AA0" w:rsidRDefault="00CD6AA0" w:rsidP="00FE492D">
      <w:pPr>
        <w:pStyle w:val="Testonotaapidipagina"/>
        <w:spacing w:before="120"/>
      </w:pPr>
      <w:r w:rsidRPr="006D2B2D">
        <w:rPr>
          <w:rStyle w:val="Rimandonotaapidipagina"/>
        </w:rPr>
        <w:footnoteRef/>
      </w:r>
      <w:r w:rsidRPr="006D2B2D">
        <w:t xml:space="preserve"> Cons. Stato, sez. V, 17 dicembre 2013, n. 6250.</w:t>
      </w:r>
    </w:p>
    <w:p w14:paraId="4E99DDA6" w14:textId="7B368C65" w:rsidR="00CD6AA0" w:rsidRPr="006D2B2D" w:rsidRDefault="00CD6AA0" w:rsidP="008F034B">
      <w:pPr>
        <w:pStyle w:val="Testonotaapidipagina"/>
        <w:jc w:val="both"/>
      </w:pPr>
      <w:r>
        <w:t xml:space="preserve">Ciò, anche in applicazione del principio di sussidiarietà, che ormai caratterizza l’esercizio della funzione amministrativa: cfr. almeno </w:t>
      </w:r>
      <w:r>
        <w:rPr>
          <w:smallCaps/>
        </w:rPr>
        <w:t xml:space="preserve">V. </w:t>
      </w:r>
      <w:proofErr w:type="spellStart"/>
      <w:r>
        <w:rPr>
          <w:smallCaps/>
        </w:rPr>
        <w:t>Cerulli</w:t>
      </w:r>
      <w:proofErr w:type="spellEnd"/>
      <w:r>
        <w:rPr>
          <w:smallCaps/>
        </w:rPr>
        <w:t xml:space="preserve"> Irelli</w:t>
      </w:r>
      <w:r>
        <w:t xml:space="preserve">, </w:t>
      </w:r>
      <w:r>
        <w:rPr>
          <w:i/>
        </w:rPr>
        <w:t>Sussidiarietà (diritto amministrativo)</w:t>
      </w:r>
      <w:r>
        <w:t xml:space="preserve">, </w:t>
      </w:r>
      <w:r>
        <w:rPr>
          <w:i/>
        </w:rPr>
        <w:t>voce</w:t>
      </w:r>
      <w:r>
        <w:t xml:space="preserve"> dell’</w:t>
      </w:r>
      <w:proofErr w:type="spellStart"/>
      <w:proofErr w:type="gramStart"/>
      <w:r>
        <w:rPr>
          <w:i/>
        </w:rPr>
        <w:t>Enc</w:t>
      </w:r>
      <w:proofErr w:type="spellEnd"/>
      <w:r>
        <w:rPr>
          <w:i/>
        </w:rPr>
        <w:t>.</w:t>
      </w:r>
      <w:proofErr w:type="gramEnd"/>
      <w:r>
        <w:rPr>
          <w:i/>
        </w:rPr>
        <w:t xml:space="preserve"> giur. Treccani</w:t>
      </w:r>
      <w:r>
        <w:t xml:space="preserve">, vol. XXX, 2003, e bibliografia </w:t>
      </w:r>
      <w:r w:rsidRPr="0099214B">
        <w:rPr>
          <w:i/>
        </w:rPr>
        <w:t>ivi</w:t>
      </w:r>
      <w:r>
        <w:t xml:space="preserve"> richiamata; </w:t>
      </w:r>
      <w:r w:rsidRPr="0088077C">
        <w:rPr>
          <w:smallCaps/>
        </w:rPr>
        <w:t>G. Arena</w:t>
      </w:r>
      <w:r w:rsidRPr="0088077C">
        <w:t xml:space="preserve">, </w:t>
      </w:r>
      <w:r w:rsidRPr="0088077C">
        <w:rPr>
          <w:i/>
          <w:iCs/>
        </w:rPr>
        <w:t>Cittadini attivi</w:t>
      </w:r>
      <w:r w:rsidRPr="0088077C">
        <w:t xml:space="preserve">, </w:t>
      </w:r>
      <w:r>
        <w:t>Bari,</w:t>
      </w:r>
      <w:r w:rsidRPr="0088077C">
        <w:t xml:space="preserve"> 2006</w:t>
      </w:r>
      <w:r>
        <w:t xml:space="preserve">; </w:t>
      </w:r>
      <w:proofErr w:type="gramStart"/>
      <w:r>
        <w:rPr>
          <w:bCs/>
          <w:smallCaps/>
        </w:rPr>
        <w:t>M.</w:t>
      </w:r>
      <w:r w:rsidRPr="00CE661B">
        <w:rPr>
          <w:bCs/>
          <w:smallCaps/>
        </w:rPr>
        <w:t>T.P.</w:t>
      </w:r>
      <w:proofErr w:type="gramEnd"/>
      <w:r w:rsidRPr="00CE661B">
        <w:rPr>
          <w:bCs/>
          <w:smallCaps/>
        </w:rPr>
        <w:t xml:space="preserve"> Caputi </w:t>
      </w:r>
      <w:proofErr w:type="spellStart"/>
      <w:r w:rsidRPr="00CE661B">
        <w:rPr>
          <w:bCs/>
          <w:smallCaps/>
        </w:rPr>
        <w:t>Jambrenghi</w:t>
      </w:r>
      <w:proofErr w:type="spellEnd"/>
      <w:r w:rsidRPr="00CE661B">
        <w:t xml:space="preserve">, </w:t>
      </w:r>
      <w:r w:rsidRPr="00CE661B">
        <w:rPr>
          <w:i/>
        </w:rPr>
        <w:t xml:space="preserve">Volontariato, </w:t>
      </w:r>
      <w:r w:rsidRPr="00CE661B">
        <w:rPr>
          <w:bCs/>
          <w:i/>
        </w:rPr>
        <w:t>sussidiarietà</w:t>
      </w:r>
      <w:r w:rsidRPr="00CE661B">
        <w:rPr>
          <w:i/>
        </w:rPr>
        <w:t>, mercato</w:t>
      </w:r>
      <w:r w:rsidRPr="00CE661B">
        <w:t>, Bari</w:t>
      </w:r>
      <w:r>
        <w:t xml:space="preserve">, 2008; </w:t>
      </w:r>
      <w:r w:rsidRPr="001B0108">
        <w:rPr>
          <w:smallCaps/>
        </w:rPr>
        <w:t xml:space="preserve">G. </w:t>
      </w:r>
      <w:proofErr w:type="spellStart"/>
      <w:r w:rsidRPr="001B0108">
        <w:rPr>
          <w:smallCaps/>
        </w:rPr>
        <w:t>Terracciano</w:t>
      </w:r>
      <w:proofErr w:type="spellEnd"/>
      <w:r w:rsidRPr="001B0108">
        <w:t xml:space="preserve">, </w:t>
      </w:r>
      <w:r w:rsidRPr="001B0108">
        <w:rPr>
          <w:i/>
          <w:lang w:val="fr-FR"/>
        </w:rPr>
        <w:t>L’autonomie et la responsabilité politique des collectivités locales: la répartition des compétences du système hiératique au principe de subsidiarité</w:t>
      </w:r>
      <w:r w:rsidRPr="001B0108">
        <w:t xml:space="preserve">, in </w:t>
      </w:r>
      <w:r w:rsidRPr="001B0108">
        <w:rPr>
          <w:i/>
        </w:rPr>
        <w:t>Amministrativamente</w:t>
      </w:r>
      <w:r w:rsidRPr="001B0108">
        <w:t xml:space="preserve"> </w:t>
      </w:r>
      <w:r>
        <w:t>(</w:t>
      </w:r>
      <w:r w:rsidRPr="001B0108">
        <w:t>novembre 2012</w:t>
      </w:r>
      <w:r>
        <w:t>).</w:t>
      </w:r>
    </w:p>
  </w:footnote>
  <w:footnote w:id="53">
    <w:p w14:paraId="24909DDD" w14:textId="71E6022D" w:rsidR="00CD6AA0" w:rsidRPr="006D2B2D" w:rsidRDefault="00CD6AA0" w:rsidP="00FE492D">
      <w:pPr>
        <w:pStyle w:val="Testonotaapidipagina"/>
        <w:spacing w:before="120"/>
        <w:jc w:val="both"/>
      </w:pPr>
      <w:r w:rsidRPr="006D2B2D">
        <w:rPr>
          <w:rStyle w:val="Rimandonotaapidipagina"/>
        </w:rPr>
        <w:footnoteRef/>
      </w:r>
      <w:r w:rsidRPr="006D2B2D">
        <w:t xml:space="preserve"> Corte </w:t>
      </w:r>
      <w:proofErr w:type="spellStart"/>
      <w:proofErr w:type="gramStart"/>
      <w:r w:rsidRPr="006D2B2D">
        <w:t>cost</w:t>
      </w:r>
      <w:proofErr w:type="spellEnd"/>
      <w:r w:rsidRPr="006D2B2D">
        <w:t>.</w:t>
      </w:r>
      <w:proofErr w:type="gramEnd"/>
      <w:r w:rsidRPr="006D2B2D">
        <w:t xml:space="preserve">, 9 maggio 2013, n. 85 in </w:t>
      </w:r>
      <w:r w:rsidRPr="006D2B2D">
        <w:rPr>
          <w:i/>
          <w:iCs/>
        </w:rPr>
        <w:t xml:space="preserve">Giur. </w:t>
      </w:r>
      <w:proofErr w:type="spellStart"/>
      <w:r w:rsidRPr="006D2B2D">
        <w:rPr>
          <w:i/>
          <w:iCs/>
        </w:rPr>
        <w:t>cost</w:t>
      </w:r>
      <w:proofErr w:type="spellEnd"/>
      <w:r w:rsidRPr="006D2B2D">
        <w:rPr>
          <w:i/>
          <w:iCs/>
        </w:rPr>
        <w:t>.</w:t>
      </w:r>
      <w:r w:rsidRPr="006D2B2D">
        <w:t xml:space="preserve">, 2013, 1424, con nota di </w:t>
      </w:r>
      <w:r w:rsidRPr="006D2B2D">
        <w:rPr>
          <w:smallCaps/>
        </w:rPr>
        <w:t xml:space="preserve">V. </w:t>
      </w:r>
      <w:proofErr w:type="spellStart"/>
      <w:r w:rsidRPr="006D2B2D">
        <w:rPr>
          <w:smallCaps/>
        </w:rPr>
        <w:t>Onida</w:t>
      </w:r>
      <w:proofErr w:type="spellEnd"/>
      <w:r w:rsidRPr="006D2B2D">
        <w:t xml:space="preserve">, </w:t>
      </w:r>
      <w:r w:rsidRPr="006D2B2D">
        <w:rPr>
          <w:i/>
          <w:iCs/>
        </w:rPr>
        <w:t>Un conflitto fra poteri sotto la veste di questione di costituzionalità: amministrazione e giurisdizione per la tutela dell’ambiente</w:t>
      </w:r>
      <w:r w:rsidRPr="006D2B2D">
        <w:t xml:space="preserve">, </w:t>
      </w:r>
      <w:r w:rsidRPr="006D2B2D">
        <w:rPr>
          <w:i/>
          <w:iCs/>
        </w:rPr>
        <w:t>ivi</w:t>
      </w:r>
      <w:r w:rsidRPr="006D2B2D">
        <w:t>, 1494 ss.</w:t>
      </w:r>
    </w:p>
    <w:p w14:paraId="5B04F117" w14:textId="1A6B4CC8" w:rsidR="00CD6AA0" w:rsidRPr="006D2B2D" w:rsidRDefault="00CD6AA0" w:rsidP="00756B67">
      <w:pPr>
        <w:pStyle w:val="Testonotaapidipagina"/>
        <w:jc w:val="both"/>
      </w:pPr>
      <w:r w:rsidRPr="006D2B2D">
        <w:t>Nell’occasione la Consulta ha affermato: «</w:t>
      </w:r>
      <w:r w:rsidRPr="00341812">
        <w:rPr>
          <w:i/>
        </w:rPr>
        <w:t xml:space="preserve">La tutela deve essere sempre “sistemica e non frazionata in una serie di norme non coordinate </w:t>
      </w:r>
      <w:proofErr w:type="gramStart"/>
      <w:r w:rsidRPr="00341812">
        <w:rPr>
          <w:i/>
        </w:rPr>
        <w:t>ed</w:t>
      </w:r>
      <w:proofErr w:type="gramEnd"/>
      <w:r w:rsidRPr="00341812">
        <w:rPr>
          <w:i/>
        </w:rPr>
        <w:t xml:space="preserve"> in potenziale conflitto tra loro” (…). Se così non fosse, </w:t>
      </w:r>
      <w:proofErr w:type="gramStart"/>
      <w:r w:rsidRPr="00341812">
        <w:rPr>
          <w:i/>
        </w:rPr>
        <w:t>si verificherebbe</w:t>
      </w:r>
      <w:proofErr w:type="gramEnd"/>
      <w:r w:rsidRPr="00341812">
        <w:rPr>
          <w:i/>
        </w:rPr>
        <w:t xml:space="preserve"> l’illimitata espansione di uno dei diritti, che diverrebbe "tiranno" nei confronti delle altre situazioni giuridiche costituzionalmente riconosciute e protette, che costituiscono, nel loro insieme, espressione della dignità della persona</w:t>
      </w:r>
      <w:r w:rsidRPr="006D2B2D">
        <w:t>».</w:t>
      </w:r>
    </w:p>
  </w:footnote>
  <w:footnote w:id="54">
    <w:p w14:paraId="67A1D5F8" w14:textId="77777777" w:rsidR="00CD6AA0" w:rsidRPr="006D2B2D" w:rsidRDefault="00CD6AA0" w:rsidP="00FE492D">
      <w:pPr>
        <w:pStyle w:val="Testonotaapidipagina"/>
        <w:spacing w:before="120"/>
        <w:rPr>
          <w:lang w:val="en-US"/>
        </w:rPr>
      </w:pPr>
      <w:r w:rsidRPr="006D2B2D">
        <w:rPr>
          <w:rStyle w:val="Rimandonotaapidipagina"/>
        </w:rPr>
        <w:footnoteRef/>
      </w:r>
      <w:r w:rsidRPr="006D2B2D">
        <w:rPr>
          <w:lang w:val="en-US"/>
        </w:rPr>
        <w:t xml:space="preserve"> </w:t>
      </w:r>
      <w:proofErr w:type="spellStart"/>
      <w:r w:rsidRPr="006D2B2D">
        <w:rPr>
          <w:lang w:val="en-US"/>
        </w:rPr>
        <w:t>Cfr</w:t>
      </w:r>
      <w:proofErr w:type="spellEnd"/>
      <w:r w:rsidRPr="006D2B2D">
        <w:rPr>
          <w:lang w:val="en-US"/>
        </w:rPr>
        <w:t xml:space="preserve">. art. 301, comma 4, </w:t>
      </w:r>
      <w:proofErr w:type="spellStart"/>
      <w:proofErr w:type="gramStart"/>
      <w:r w:rsidRPr="006D2B2D">
        <w:rPr>
          <w:i/>
          <w:lang w:val="en-US"/>
        </w:rPr>
        <w:t>lett</w:t>
      </w:r>
      <w:proofErr w:type="spellEnd"/>
      <w:proofErr w:type="gramEnd"/>
      <w:r w:rsidRPr="006D2B2D">
        <w:rPr>
          <w:i/>
          <w:lang w:val="en-US"/>
        </w:rPr>
        <w:t>. a)</w:t>
      </w:r>
      <w:r w:rsidRPr="006D2B2D">
        <w:rPr>
          <w:lang w:val="en-US"/>
        </w:rPr>
        <w:t xml:space="preserve"> </w:t>
      </w:r>
      <w:proofErr w:type="spellStart"/>
      <w:proofErr w:type="gramStart"/>
      <w:r w:rsidRPr="006D2B2D">
        <w:rPr>
          <w:lang w:val="en-US"/>
        </w:rPr>
        <w:t>d</w:t>
      </w:r>
      <w:proofErr w:type="gramEnd"/>
      <w:r w:rsidRPr="006D2B2D">
        <w:rPr>
          <w:lang w:val="en-US"/>
        </w:rPr>
        <w:t>.lgs</w:t>
      </w:r>
      <w:proofErr w:type="spellEnd"/>
      <w:r w:rsidRPr="006D2B2D">
        <w:rPr>
          <w:lang w:val="en-US"/>
        </w:rPr>
        <w:t xml:space="preserve">. </w:t>
      </w:r>
      <w:proofErr w:type="gramStart"/>
      <w:r w:rsidRPr="006D2B2D">
        <w:rPr>
          <w:lang w:val="en-US"/>
        </w:rPr>
        <w:t xml:space="preserve">3 </w:t>
      </w:r>
      <w:proofErr w:type="spellStart"/>
      <w:r w:rsidRPr="006D2B2D">
        <w:rPr>
          <w:lang w:val="en-US"/>
        </w:rPr>
        <w:t>aprile</w:t>
      </w:r>
      <w:proofErr w:type="spellEnd"/>
      <w:r w:rsidRPr="006D2B2D">
        <w:rPr>
          <w:lang w:val="en-US"/>
        </w:rPr>
        <w:t xml:space="preserve"> 2006, n. 152.</w:t>
      </w:r>
      <w:proofErr w:type="gramEnd"/>
    </w:p>
  </w:footnote>
  <w:footnote w:id="55">
    <w:p w14:paraId="469A8A66" w14:textId="080016EB" w:rsidR="00CD6AA0" w:rsidRPr="006D2B2D" w:rsidRDefault="00CD6AA0" w:rsidP="00FE492D">
      <w:pPr>
        <w:pStyle w:val="Testonotaapidipagina"/>
        <w:spacing w:before="120"/>
        <w:jc w:val="both"/>
      </w:pPr>
      <w:r w:rsidRPr="006D2B2D">
        <w:rPr>
          <w:rStyle w:val="Rimandonotaapidipagina"/>
        </w:rPr>
        <w:footnoteRef/>
      </w:r>
      <w:r w:rsidRPr="006D2B2D">
        <w:t xml:space="preserve"> In tal senso cfr. Comunicazione della Commissione (2000) 1 </w:t>
      </w:r>
      <w:proofErr w:type="spellStart"/>
      <w:proofErr w:type="gramStart"/>
      <w:r w:rsidRPr="006D2B2D">
        <w:t>def</w:t>
      </w:r>
      <w:proofErr w:type="spellEnd"/>
      <w:r w:rsidRPr="006D2B2D">
        <w:t>.</w:t>
      </w:r>
      <w:proofErr w:type="gramEnd"/>
      <w:r w:rsidRPr="006D2B2D">
        <w:t>, cit., § 6.3.1, a mente della quale «</w:t>
      </w:r>
      <w:r w:rsidRPr="00F7271D">
        <w:rPr>
          <w:i/>
        </w:rPr>
        <w:t>Le misure previste devono consentire di raggiungere il livello di protezione adeguato. Le misure basate sul principio di precauzione non dovrebbero essere sproporzionate rispetto al livello di protezione ricercato, tentando di raggiungere un livello di rischio zero che esiste solo di rado</w:t>
      </w:r>
      <w:r w:rsidRPr="006D2B2D">
        <w:t xml:space="preserve">». </w:t>
      </w:r>
      <w:proofErr w:type="gramStart"/>
      <w:r w:rsidRPr="006D2B2D">
        <w:t xml:space="preserve">In giurisprudenza, </w:t>
      </w:r>
      <w:r w:rsidRPr="006D2B2D">
        <w:rPr>
          <w:i/>
        </w:rPr>
        <w:t xml:space="preserve">ex </w:t>
      </w:r>
      <w:proofErr w:type="spellStart"/>
      <w:r w:rsidRPr="006D2B2D">
        <w:rPr>
          <w:i/>
        </w:rPr>
        <w:t>multis</w:t>
      </w:r>
      <w:proofErr w:type="spellEnd"/>
      <w:r w:rsidRPr="006D2B2D">
        <w:t>, Corte di giustizia</w:t>
      </w:r>
      <w:r>
        <w:t xml:space="preserve"> UE</w:t>
      </w:r>
      <w:r w:rsidRPr="006D2B2D">
        <w:t xml:space="preserve">, 1 aprile 2004, in causa C-286/02, </w:t>
      </w:r>
      <w:proofErr w:type="spellStart"/>
      <w:r w:rsidRPr="006D2B2D">
        <w:rPr>
          <w:i/>
        </w:rPr>
        <w:t>Bellio</w:t>
      </w:r>
      <w:proofErr w:type="spellEnd"/>
      <w:r w:rsidRPr="006D2B2D">
        <w:t>, spec</w:t>
      </w:r>
      <w:proofErr w:type="gramEnd"/>
      <w:r w:rsidRPr="006D2B2D">
        <w:t xml:space="preserve">. § 60; </w:t>
      </w:r>
      <w:proofErr w:type="gramStart"/>
      <w:r w:rsidRPr="006D2B2D">
        <w:t>Cons.</w:t>
      </w:r>
      <w:proofErr w:type="gramEnd"/>
      <w:r w:rsidRPr="006D2B2D">
        <w:t xml:space="preserve"> Stato, sez. V, 16 aprile 2013, n. 2094.</w:t>
      </w:r>
    </w:p>
  </w:footnote>
  <w:footnote w:id="56">
    <w:p w14:paraId="0B77EBB3" w14:textId="0AB32D73" w:rsidR="00CD6AA0" w:rsidRPr="00A8700C" w:rsidRDefault="00CD6AA0" w:rsidP="00FE492D">
      <w:pPr>
        <w:pStyle w:val="Testonotaapidipagina"/>
        <w:spacing w:before="120"/>
        <w:jc w:val="both"/>
      </w:pPr>
      <w:r w:rsidRPr="006D2B2D">
        <w:rPr>
          <w:rStyle w:val="Rimandonotaapidipagina"/>
        </w:rPr>
        <w:footnoteRef/>
      </w:r>
      <w:r w:rsidRPr="006D2B2D">
        <w:t xml:space="preserve"> Cfr. Corte </w:t>
      </w:r>
      <w:proofErr w:type="spellStart"/>
      <w:proofErr w:type="gramStart"/>
      <w:r w:rsidRPr="006D2B2D">
        <w:t>cost</w:t>
      </w:r>
      <w:proofErr w:type="spellEnd"/>
      <w:r w:rsidRPr="006D2B2D">
        <w:t>.</w:t>
      </w:r>
      <w:proofErr w:type="gramEnd"/>
      <w:r w:rsidRPr="006D2B2D">
        <w:t xml:space="preserve">, sentenza 14 aprile 1995, n. 127 in </w:t>
      </w:r>
      <w:proofErr w:type="spellStart"/>
      <w:r w:rsidRPr="006D2B2D">
        <w:rPr>
          <w:i/>
        </w:rPr>
        <w:t>Riv</w:t>
      </w:r>
      <w:proofErr w:type="spellEnd"/>
      <w:r w:rsidRPr="006D2B2D">
        <w:rPr>
          <w:i/>
        </w:rPr>
        <w:t>. giur. ambiente</w:t>
      </w:r>
      <w:r w:rsidRPr="006D2B2D">
        <w:t xml:space="preserve">, 1997, 258 con nota di A. </w:t>
      </w:r>
      <w:r w:rsidRPr="006D2B2D">
        <w:rPr>
          <w:smallCaps/>
        </w:rPr>
        <w:t>Morrone</w:t>
      </w:r>
      <w:r w:rsidRPr="006D2B2D">
        <w:t xml:space="preserve">, </w:t>
      </w:r>
      <w:r w:rsidRPr="00F7271D">
        <w:rPr>
          <w:i/>
        </w:rPr>
        <w:t>I poteri di ordinanza contingibili e urgenti: l’integrazione del diritto "eccezionale" nel sistema delle fonti e dei livelli di governo territoriale</w:t>
      </w:r>
      <w:r w:rsidRPr="00971EA5">
        <w:t xml:space="preserve">, </w:t>
      </w:r>
      <w:r w:rsidRPr="00F05543">
        <w:rPr>
          <w:i/>
        </w:rPr>
        <w:t>ivi</w:t>
      </w:r>
      <w:r w:rsidRPr="00971EA5">
        <w:t>, 265 ss.</w:t>
      </w:r>
      <w:r w:rsidRPr="006D2B2D">
        <w:t xml:space="preserve"> Nell’occasione la Consulta ha affermato che «</w:t>
      </w:r>
      <w:r w:rsidRPr="00F7271D">
        <w:rPr>
          <w:i/>
        </w:rPr>
        <w:t>tra le misure adottate e la qualità e la natura degli eventi deve sussistere un nesso di congruità e proporzione</w:t>
      </w:r>
      <w:r w:rsidRPr="006D2B2D">
        <w:t>».</w:t>
      </w:r>
    </w:p>
  </w:footnote>
  <w:footnote w:id="57">
    <w:p w14:paraId="7A86850B" w14:textId="1734DDD4" w:rsidR="00CD6AA0" w:rsidRPr="002301CE" w:rsidRDefault="00CD6AA0" w:rsidP="006401D7">
      <w:pPr>
        <w:pStyle w:val="Testonotaapidipagina"/>
        <w:spacing w:before="120"/>
        <w:jc w:val="both"/>
      </w:pPr>
      <w:r>
        <w:rPr>
          <w:rStyle w:val="Rimandonotaapidipagina"/>
        </w:rPr>
        <w:footnoteRef/>
      </w:r>
      <w:r>
        <w:t xml:space="preserve"> </w:t>
      </w:r>
      <w:r w:rsidRPr="002301CE">
        <w:t xml:space="preserve">Ed è anche in forza della violazione del principio di proporzionalità che il </w:t>
      </w:r>
      <w:proofErr w:type="spellStart"/>
      <w:proofErr w:type="gramStart"/>
      <w:r w:rsidRPr="002301CE">
        <w:t>T.a.r</w:t>
      </w:r>
      <w:proofErr w:type="spellEnd"/>
      <w:r w:rsidRPr="002301CE">
        <w:t>.</w:t>
      </w:r>
      <w:proofErr w:type="gramEnd"/>
      <w:r w:rsidRPr="002301CE">
        <w:t xml:space="preserve"> Puglia, in una recente sentenza (sez. I, 24 marzo 2015, n. n. 479, cit.), ha dichiarato l’illegittimità dell’ordinanza </w:t>
      </w:r>
      <w:r w:rsidRPr="002301CE">
        <w:rPr>
          <w:i/>
        </w:rPr>
        <w:t>ex</w:t>
      </w:r>
      <w:r w:rsidRPr="002301CE">
        <w:t xml:space="preserve"> artt. 50 e 54 </w:t>
      </w:r>
      <w:proofErr w:type="spellStart"/>
      <w:r w:rsidRPr="002301CE">
        <w:t>t.u.e.l</w:t>
      </w:r>
      <w:proofErr w:type="spellEnd"/>
      <w:r w:rsidRPr="002301CE">
        <w:t>. con la quale il Sindaco di un Comune limitrofo a Bari e nel cui territorio in parte ricade la zona industriale del capoluogo, aveva sospeso tutti i nuovi processi e/o impianti industriali e produttivi nel territorio del Comune (e dunque, in ultima istanza, nella zona industriale di Bari) invocando il principio di precauzione. Nel provvedimento, infatti, ritenuta l’assenza di dati attendibili e certi sulla qualità dell’aria nel territorio come rilevati dall’ARPA, si giustificava l’esigenza di provvedere in ossequio al suddetto principio a fronte di una minaccia definita espressamente “solo potenziale” per la salute pubblica.</w:t>
      </w:r>
    </w:p>
    <w:p w14:paraId="15AAFC4C" w14:textId="77777777" w:rsidR="00CD6AA0" w:rsidRPr="002301CE" w:rsidRDefault="00CD6AA0" w:rsidP="002301CE">
      <w:pPr>
        <w:pStyle w:val="Testonotaapidipagina"/>
      </w:pPr>
      <w:r w:rsidRPr="002301CE">
        <w:t xml:space="preserve">E così il Sindaco legislatore che partì lancia in resta invocando il principio di precauzione, di </w:t>
      </w:r>
      <w:proofErr w:type="gramStart"/>
      <w:r w:rsidRPr="002301CE">
        <w:t>precauzione</w:t>
      </w:r>
      <w:proofErr w:type="gramEnd"/>
      <w:r w:rsidRPr="002301CE">
        <w:t xml:space="preserve"> (e proporzionalità), per mano del giudice, perì. </w:t>
      </w:r>
    </w:p>
    <w:p w14:paraId="5338E4E2" w14:textId="77777777" w:rsidR="00CD6AA0" w:rsidRDefault="00CD6AA0">
      <w:pPr>
        <w:pStyle w:val="Testonotaapidipagina"/>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40DD"/>
    <w:multiLevelType w:val="hybridMultilevel"/>
    <w:tmpl w:val="7CEA81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5295977"/>
    <w:multiLevelType w:val="hybridMultilevel"/>
    <w:tmpl w:val="976EFC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DD27BE"/>
    <w:multiLevelType w:val="hybridMultilevel"/>
    <w:tmpl w:val="948C2600"/>
    <w:lvl w:ilvl="0" w:tplc="B80E8BC6">
      <w:start w:val="3"/>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488F66AE"/>
    <w:multiLevelType w:val="hybridMultilevel"/>
    <w:tmpl w:val="DDFEE36C"/>
    <w:lvl w:ilvl="0" w:tplc="BD14217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nsid w:val="70C17444"/>
    <w:multiLevelType w:val="hybridMultilevel"/>
    <w:tmpl w:val="7EBEE1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D6"/>
    <w:rsid w:val="00001334"/>
    <w:rsid w:val="00001510"/>
    <w:rsid w:val="00003BC8"/>
    <w:rsid w:val="00007EB6"/>
    <w:rsid w:val="00023EE8"/>
    <w:rsid w:val="00031BCB"/>
    <w:rsid w:val="00035465"/>
    <w:rsid w:val="00036CEF"/>
    <w:rsid w:val="0003776B"/>
    <w:rsid w:val="0004027A"/>
    <w:rsid w:val="00060CA1"/>
    <w:rsid w:val="0008304B"/>
    <w:rsid w:val="0008649B"/>
    <w:rsid w:val="00087C43"/>
    <w:rsid w:val="000A0029"/>
    <w:rsid w:val="000A16BB"/>
    <w:rsid w:val="000A236F"/>
    <w:rsid w:val="000A7312"/>
    <w:rsid w:val="000B0FFB"/>
    <w:rsid w:val="000B5D95"/>
    <w:rsid w:val="000C08D6"/>
    <w:rsid w:val="000C16AE"/>
    <w:rsid w:val="000D26E2"/>
    <w:rsid w:val="000D3960"/>
    <w:rsid w:val="000D4420"/>
    <w:rsid w:val="000D6788"/>
    <w:rsid w:val="000E1334"/>
    <w:rsid w:val="000F45BE"/>
    <w:rsid w:val="000F6AF7"/>
    <w:rsid w:val="00106FFC"/>
    <w:rsid w:val="001073A7"/>
    <w:rsid w:val="00117167"/>
    <w:rsid w:val="0012371E"/>
    <w:rsid w:val="00126571"/>
    <w:rsid w:val="00126A04"/>
    <w:rsid w:val="00140298"/>
    <w:rsid w:val="001439CD"/>
    <w:rsid w:val="0015152C"/>
    <w:rsid w:val="001702D2"/>
    <w:rsid w:val="001713F4"/>
    <w:rsid w:val="00180BF6"/>
    <w:rsid w:val="00187975"/>
    <w:rsid w:val="00195FA1"/>
    <w:rsid w:val="00196999"/>
    <w:rsid w:val="001A2D80"/>
    <w:rsid w:val="001B0108"/>
    <w:rsid w:val="001B58B0"/>
    <w:rsid w:val="001C2D92"/>
    <w:rsid w:val="001C32C1"/>
    <w:rsid w:val="001C393F"/>
    <w:rsid w:val="001C5A41"/>
    <w:rsid w:val="001C69C7"/>
    <w:rsid w:val="001C75E7"/>
    <w:rsid w:val="001D27EC"/>
    <w:rsid w:val="001D4596"/>
    <w:rsid w:val="001E0884"/>
    <w:rsid w:val="001F63CC"/>
    <w:rsid w:val="0020302C"/>
    <w:rsid w:val="002043E4"/>
    <w:rsid w:val="00205469"/>
    <w:rsid w:val="00206100"/>
    <w:rsid w:val="00210D48"/>
    <w:rsid w:val="00212727"/>
    <w:rsid w:val="002127F0"/>
    <w:rsid w:val="00212B85"/>
    <w:rsid w:val="0021434C"/>
    <w:rsid w:val="00216D10"/>
    <w:rsid w:val="002301CE"/>
    <w:rsid w:val="00230581"/>
    <w:rsid w:val="00230A23"/>
    <w:rsid w:val="002346BA"/>
    <w:rsid w:val="0024220F"/>
    <w:rsid w:val="00244808"/>
    <w:rsid w:val="00245CF1"/>
    <w:rsid w:val="00262B30"/>
    <w:rsid w:val="00265700"/>
    <w:rsid w:val="00265B3A"/>
    <w:rsid w:val="00276637"/>
    <w:rsid w:val="00284E17"/>
    <w:rsid w:val="002B0F88"/>
    <w:rsid w:val="002B7C2C"/>
    <w:rsid w:val="002C6139"/>
    <w:rsid w:val="002E672A"/>
    <w:rsid w:val="002F04EA"/>
    <w:rsid w:val="002F2688"/>
    <w:rsid w:val="002F34A8"/>
    <w:rsid w:val="00303317"/>
    <w:rsid w:val="00306025"/>
    <w:rsid w:val="003207EB"/>
    <w:rsid w:val="00341812"/>
    <w:rsid w:val="0034185A"/>
    <w:rsid w:val="003450F5"/>
    <w:rsid w:val="0034682E"/>
    <w:rsid w:val="00347086"/>
    <w:rsid w:val="00352D78"/>
    <w:rsid w:val="00360436"/>
    <w:rsid w:val="003744EB"/>
    <w:rsid w:val="0037641B"/>
    <w:rsid w:val="00380B2B"/>
    <w:rsid w:val="0038297A"/>
    <w:rsid w:val="0039302F"/>
    <w:rsid w:val="00393045"/>
    <w:rsid w:val="003934D6"/>
    <w:rsid w:val="003A396D"/>
    <w:rsid w:val="003B5A80"/>
    <w:rsid w:val="003D5A41"/>
    <w:rsid w:val="003E27D9"/>
    <w:rsid w:val="003E4539"/>
    <w:rsid w:val="003E5A43"/>
    <w:rsid w:val="003E67EC"/>
    <w:rsid w:val="003F4250"/>
    <w:rsid w:val="004072B1"/>
    <w:rsid w:val="00407610"/>
    <w:rsid w:val="00414658"/>
    <w:rsid w:val="0041756F"/>
    <w:rsid w:val="00435E84"/>
    <w:rsid w:val="004432FE"/>
    <w:rsid w:val="00451A95"/>
    <w:rsid w:val="00467D58"/>
    <w:rsid w:val="004704A7"/>
    <w:rsid w:val="00480EC4"/>
    <w:rsid w:val="0048159C"/>
    <w:rsid w:val="00493693"/>
    <w:rsid w:val="004A007D"/>
    <w:rsid w:val="004A29A1"/>
    <w:rsid w:val="004A3D9F"/>
    <w:rsid w:val="004A7A56"/>
    <w:rsid w:val="004B00B3"/>
    <w:rsid w:val="004B6CD6"/>
    <w:rsid w:val="004B7F7F"/>
    <w:rsid w:val="004D3384"/>
    <w:rsid w:val="004E0A92"/>
    <w:rsid w:val="004E4110"/>
    <w:rsid w:val="004E5F0B"/>
    <w:rsid w:val="004E79E4"/>
    <w:rsid w:val="004F004D"/>
    <w:rsid w:val="004F4198"/>
    <w:rsid w:val="004F6F27"/>
    <w:rsid w:val="005010AD"/>
    <w:rsid w:val="00503D4A"/>
    <w:rsid w:val="0052562B"/>
    <w:rsid w:val="00527C2C"/>
    <w:rsid w:val="0053098B"/>
    <w:rsid w:val="005445F7"/>
    <w:rsid w:val="005547F8"/>
    <w:rsid w:val="00563D6D"/>
    <w:rsid w:val="005649B5"/>
    <w:rsid w:val="00573ABE"/>
    <w:rsid w:val="00577F0A"/>
    <w:rsid w:val="00581550"/>
    <w:rsid w:val="00584C46"/>
    <w:rsid w:val="00596C1C"/>
    <w:rsid w:val="005A2366"/>
    <w:rsid w:val="005A24BB"/>
    <w:rsid w:val="005A301A"/>
    <w:rsid w:val="005A6E44"/>
    <w:rsid w:val="005B0550"/>
    <w:rsid w:val="005B3B13"/>
    <w:rsid w:val="005B59E8"/>
    <w:rsid w:val="005B7C52"/>
    <w:rsid w:val="005C7701"/>
    <w:rsid w:val="005D4ADD"/>
    <w:rsid w:val="005D7D85"/>
    <w:rsid w:val="005E1B0E"/>
    <w:rsid w:val="005E20D0"/>
    <w:rsid w:val="005F0AEB"/>
    <w:rsid w:val="005F1672"/>
    <w:rsid w:val="005F33F5"/>
    <w:rsid w:val="005F6386"/>
    <w:rsid w:val="005F639C"/>
    <w:rsid w:val="005F6817"/>
    <w:rsid w:val="006017A1"/>
    <w:rsid w:val="0060578D"/>
    <w:rsid w:val="006113DF"/>
    <w:rsid w:val="006122B2"/>
    <w:rsid w:val="00613D38"/>
    <w:rsid w:val="006209A4"/>
    <w:rsid w:val="006212B7"/>
    <w:rsid w:val="00621D8F"/>
    <w:rsid w:val="00622188"/>
    <w:rsid w:val="00630807"/>
    <w:rsid w:val="00634D90"/>
    <w:rsid w:val="006401D7"/>
    <w:rsid w:val="00640509"/>
    <w:rsid w:val="00652649"/>
    <w:rsid w:val="00654C09"/>
    <w:rsid w:val="00655FD4"/>
    <w:rsid w:val="00667AD8"/>
    <w:rsid w:val="00690702"/>
    <w:rsid w:val="006920AC"/>
    <w:rsid w:val="00692EC8"/>
    <w:rsid w:val="00693FD5"/>
    <w:rsid w:val="006A093C"/>
    <w:rsid w:val="006A6337"/>
    <w:rsid w:val="006B1F8D"/>
    <w:rsid w:val="006B7E1F"/>
    <w:rsid w:val="006C1FEA"/>
    <w:rsid w:val="006D26AC"/>
    <w:rsid w:val="006D2B2D"/>
    <w:rsid w:val="006D6641"/>
    <w:rsid w:val="006D669D"/>
    <w:rsid w:val="006D7ABE"/>
    <w:rsid w:val="006E4E90"/>
    <w:rsid w:val="006E793E"/>
    <w:rsid w:val="006F2714"/>
    <w:rsid w:val="00710C59"/>
    <w:rsid w:val="0071431D"/>
    <w:rsid w:val="00724E05"/>
    <w:rsid w:val="00724F52"/>
    <w:rsid w:val="007305D2"/>
    <w:rsid w:val="0074061F"/>
    <w:rsid w:val="00746E00"/>
    <w:rsid w:val="007472C0"/>
    <w:rsid w:val="00756B67"/>
    <w:rsid w:val="007624D0"/>
    <w:rsid w:val="00765539"/>
    <w:rsid w:val="00766215"/>
    <w:rsid w:val="007714B5"/>
    <w:rsid w:val="0077246C"/>
    <w:rsid w:val="00773CFD"/>
    <w:rsid w:val="007802A2"/>
    <w:rsid w:val="0079746E"/>
    <w:rsid w:val="007A0AA8"/>
    <w:rsid w:val="007A1472"/>
    <w:rsid w:val="007A2595"/>
    <w:rsid w:val="007A7A11"/>
    <w:rsid w:val="007B2656"/>
    <w:rsid w:val="007B2F9E"/>
    <w:rsid w:val="007B45FD"/>
    <w:rsid w:val="007B48CD"/>
    <w:rsid w:val="007B6C55"/>
    <w:rsid w:val="007B7D19"/>
    <w:rsid w:val="007C07CC"/>
    <w:rsid w:val="007C2C4D"/>
    <w:rsid w:val="007C3F54"/>
    <w:rsid w:val="007C769F"/>
    <w:rsid w:val="007D17A1"/>
    <w:rsid w:val="007D4A95"/>
    <w:rsid w:val="007D6049"/>
    <w:rsid w:val="007E1F68"/>
    <w:rsid w:val="007F03E5"/>
    <w:rsid w:val="0080026F"/>
    <w:rsid w:val="00803716"/>
    <w:rsid w:val="0080475D"/>
    <w:rsid w:val="00804D8B"/>
    <w:rsid w:val="0081242A"/>
    <w:rsid w:val="00813C72"/>
    <w:rsid w:val="00813EE7"/>
    <w:rsid w:val="008221AA"/>
    <w:rsid w:val="0085315F"/>
    <w:rsid w:val="008747CB"/>
    <w:rsid w:val="00876E16"/>
    <w:rsid w:val="0088077C"/>
    <w:rsid w:val="00883E1C"/>
    <w:rsid w:val="00885163"/>
    <w:rsid w:val="008924B7"/>
    <w:rsid w:val="008930DA"/>
    <w:rsid w:val="00896D3B"/>
    <w:rsid w:val="008A5937"/>
    <w:rsid w:val="008A5DB9"/>
    <w:rsid w:val="008B5D05"/>
    <w:rsid w:val="008C04F0"/>
    <w:rsid w:val="008C2B77"/>
    <w:rsid w:val="008C3B86"/>
    <w:rsid w:val="008D17B7"/>
    <w:rsid w:val="008D4F76"/>
    <w:rsid w:val="008D63E9"/>
    <w:rsid w:val="008E405F"/>
    <w:rsid w:val="008F034B"/>
    <w:rsid w:val="008F2E3E"/>
    <w:rsid w:val="008F4C6C"/>
    <w:rsid w:val="008F4D6C"/>
    <w:rsid w:val="008F6DD4"/>
    <w:rsid w:val="00900880"/>
    <w:rsid w:val="009022C8"/>
    <w:rsid w:val="009111EE"/>
    <w:rsid w:val="00912A4B"/>
    <w:rsid w:val="00913CE4"/>
    <w:rsid w:val="009172C0"/>
    <w:rsid w:val="0092185B"/>
    <w:rsid w:val="009221C4"/>
    <w:rsid w:val="00935F65"/>
    <w:rsid w:val="00943BE7"/>
    <w:rsid w:val="009463A5"/>
    <w:rsid w:val="00954250"/>
    <w:rsid w:val="00954D72"/>
    <w:rsid w:val="009603DD"/>
    <w:rsid w:val="009660BE"/>
    <w:rsid w:val="00970F4A"/>
    <w:rsid w:val="00971EA5"/>
    <w:rsid w:val="0097248C"/>
    <w:rsid w:val="00977C2C"/>
    <w:rsid w:val="00986C27"/>
    <w:rsid w:val="00987DE5"/>
    <w:rsid w:val="0099163C"/>
    <w:rsid w:val="00991C0E"/>
    <w:rsid w:val="0099214B"/>
    <w:rsid w:val="009927F9"/>
    <w:rsid w:val="00997359"/>
    <w:rsid w:val="00997B47"/>
    <w:rsid w:val="009A1FF3"/>
    <w:rsid w:val="009A7267"/>
    <w:rsid w:val="009B54E1"/>
    <w:rsid w:val="009B6384"/>
    <w:rsid w:val="009C0925"/>
    <w:rsid w:val="009C19EF"/>
    <w:rsid w:val="009C3C59"/>
    <w:rsid w:val="009F1779"/>
    <w:rsid w:val="009F4118"/>
    <w:rsid w:val="009F42F1"/>
    <w:rsid w:val="00A005B1"/>
    <w:rsid w:val="00A00FC5"/>
    <w:rsid w:val="00A063CF"/>
    <w:rsid w:val="00A07126"/>
    <w:rsid w:val="00A15A0E"/>
    <w:rsid w:val="00A22B54"/>
    <w:rsid w:val="00A32FAB"/>
    <w:rsid w:val="00A33114"/>
    <w:rsid w:val="00A41BB7"/>
    <w:rsid w:val="00A427D4"/>
    <w:rsid w:val="00A46668"/>
    <w:rsid w:val="00A52B14"/>
    <w:rsid w:val="00A61B45"/>
    <w:rsid w:val="00A76C6B"/>
    <w:rsid w:val="00A845B6"/>
    <w:rsid w:val="00A8700C"/>
    <w:rsid w:val="00AA0C17"/>
    <w:rsid w:val="00AA58EB"/>
    <w:rsid w:val="00AB0E94"/>
    <w:rsid w:val="00AB2DE3"/>
    <w:rsid w:val="00AB7804"/>
    <w:rsid w:val="00AC1A03"/>
    <w:rsid w:val="00AC3666"/>
    <w:rsid w:val="00AD2FFC"/>
    <w:rsid w:val="00AE36D0"/>
    <w:rsid w:val="00AE5EEA"/>
    <w:rsid w:val="00AF2A47"/>
    <w:rsid w:val="00AF70F5"/>
    <w:rsid w:val="00B014A1"/>
    <w:rsid w:val="00B05277"/>
    <w:rsid w:val="00B1046F"/>
    <w:rsid w:val="00B1652E"/>
    <w:rsid w:val="00B17600"/>
    <w:rsid w:val="00B21DCE"/>
    <w:rsid w:val="00B23649"/>
    <w:rsid w:val="00B23E85"/>
    <w:rsid w:val="00B243F3"/>
    <w:rsid w:val="00B26199"/>
    <w:rsid w:val="00B30226"/>
    <w:rsid w:val="00B31BB1"/>
    <w:rsid w:val="00B32CC0"/>
    <w:rsid w:val="00B41B66"/>
    <w:rsid w:val="00B42900"/>
    <w:rsid w:val="00B42DC9"/>
    <w:rsid w:val="00B430AD"/>
    <w:rsid w:val="00B52844"/>
    <w:rsid w:val="00B61482"/>
    <w:rsid w:val="00B65107"/>
    <w:rsid w:val="00B7232B"/>
    <w:rsid w:val="00B731FA"/>
    <w:rsid w:val="00B80E3B"/>
    <w:rsid w:val="00B82196"/>
    <w:rsid w:val="00B83B2D"/>
    <w:rsid w:val="00B929AD"/>
    <w:rsid w:val="00B978F1"/>
    <w:rsid w:val="00BA20CF"/>
    <w:rsid w:val="00BA3B9A"/>
    <w:rsid w:val="00BA7CA0"/>
    <w:rsid w:val="00BB3E76"/>
    <w:rsid w:val="00BC1177"/>
    <w:rsid w:val="00BD40C5"/>
    <w:rsid w:val="00BD6B40"/>
    <w:rsid w:val="00BE2291"/>
    <w:rsid w:val="00BF05B1"/>
    <w:rsid w:val="00BF22BF"/>
    <w:rsid w:val="00C01CEC"/>
    <w:rsid w:val="00C02BBE"/>
    <w:rsid w:val="00C03830"/>
    <w:rsid w:val="00C1094D"/>
    <w:rsid w:val="00C25E50"/>
    <w:rsid w:val="00C32591"/>
    <w:rsid w:val="00C42242"/>
    <w:rsid w:val="00C524A3"/>
    <w:rsid w:val="00C557A1"/>
    <w:rsid w:val="00C561E9"/>
    <w:rsid w:val="00C57ABF"/>
    <w:rsid w:val="00C6155F"/>
    <w:rsid w:val="00C6343A"/>
    <w:rsid w:val="00C64913"/>
    <w:rsid w:val="00C71755"/>
    <w:rsid w:val="00C7705D"/>
    <w:rsid w:val="00C86425"/>
    <w:rsid w:val="00C93BBC"/>
    <w:rsid w:val="00C969D6"/>
    <w:rsid w:val="00CA0E25"/>
    <w:rsid w:val="00CB63C4"/>
    <w:rsid w:val="00CC5111"/>
    <w:rsid w:val="00CD4247"/>
    <w:rsid w:val="00CD6AA0"/>
    <w:rsid w:val="00CD6C28"/>
    <w:rsid w:val="00CE1F06"/>
    <w:rsid w:val="00CE260E"/>
    <w:rsid w:val="00CE5608"/>
    <w:rsid w:val="00CE661B"/>
    <w:rsid w:val="00CE6C37"/>
    <w:rsid w:val="00CE7C7C"/>
    <w:rsid w:val="00CF125A"/>
    <w:rsid w:val="00CF288A"/>
    <w:rsid w:val="00CF5122"/>
    <w:rsid w:val="00D02909"/>
    <w:rsid w:val="00D079FD"/>
    <w:rsid w:val="00D133AF"/>
    <w:rsid w:val="00D140F1"/>
    <w:rsid w:val="00D14925"/>
    <w:rsid w:val="00D26AEC"/>
    <w:rsid w:val="00D26F42"/>
    <w:rsid w:val="00D272B1"/>
    <w:rsid w:val="00D31550"/>
    <w:rsid w:val="00D33E8F"/>
    <w:rsid w:val="00D359DF"/>
    <w:rsid w:val="00D41614"/>
    <w:rsid w:val="00D478F8"/>
    <w:rsid w:val="00D47A45"/>
    <w:rsid w:val="00D50D8C"/>
    <w:rsid w:val="00D511E6"/>
    <w:rsid w:val="00D51CA3"/>
    <w:rsid w:val="00D51D3F"/>
    <w:rsid w:val="00D60BF0"/>
    <w:rsid w:val="00D71F5A"/>
    <w:rsid w:val="00D76EF1"/>
    <w:rsid w:val="00D80DED"/>
    <w:rsid w:val="00D9297D"/>
    <w:rsid w:val="00D92BDE"/>
    <w:rsid w:val="00D933B0"/>
    <w:rsid w:val="00D9553E"/>
    <w:rsid w:val="00DA3631"/>
    <w:rsid w:val="00DA3870"/>
    <w:rsid w:val="00DA5F41"/>
    <w:rsid w:val="00DB3D66"/>
    <w:rsid w:val="00DC3694"/>
    <w:rsid w:val="00DE2D77"/>
    <w:rsid w:val="00DE3C9B"/>
    <w:rsid w:val="00DF05BB"/>
    <w:rsid w:val="00DF07CA"/>
    <w:rsid w:val="00DF139E"/>
    <w:rsid w:val="00E00EF7"/>
    <w:rsid w:val="00E02DFD"/>
    <w:rsid w:val="00E064A5"/>
    <w:rsid w:val="00E10869"/>
    <w:rsid w:val="00E1313D"/>
    <w:rsid w:val="00E155E6"/>
    <w:rsid w:val="00E17653"/>
    <w:rsid w:val="00E21036"/>
    <w:rsid w:val="00E222B0"/>
    <w:rsid w:val="00E26861"/>
    <w:rsid w:val="00E33F19"/>
    <w:rsid w:val="00E344E6"/>
    <w:rsid w:val="00E34B71"/>
    <w:rsid w:val="00E372A8"/>
    <w:rsid w:val="00E424FD"/>
    <w:rsid w:val="00E42A83"/>
    <w:rsid w:val="00E62587"/>
    <w:rsid w:val="00E62712"/>
    <w:rsid w:val="00E71C59"/>
    <w:rsid w:val="00E758D3"/>
    <w:rsid w:val="00E81BB5"/>
    <w:rsid w:val="00E831EA"/>
    <w:rsid w:val="00E9216E"/>
    <w:rsid w:val="00E9248E"/>
    <w:rsid w:val="00E93315"/>
    <w:rsid w:val="00EA2A3F"/>
    <w:rsid w:val="00EA350F"/>
    <w:rsid w:val="00EA7BA8"/>
    <w:rsid w:val="00EB04EB"/>
    <w:rsid w:val="00EB5F97"/>
    <w:rsid w:val="00EB652A"/>
    <w:rsid w:val="00EC2E7A"/>
    <w:rsid w:val="00EC3A56"/>
    <w:rsid w:val="00EE0DD6"/>
    <w:rsid w:val="00EE7B8B"/>
    <w:rsid w:val="00EF16F1"/>
    <w:rsid w:val="00EF1CED"/>
    <w:rsid w:val="00EF1E0C"/>
    <w:rsid w:val="00F028F5"/>
    <w:rsid w:val="00F02B2E"/>
    <w:rsid w:val="00F05543"/>
    <w:rsid w:val="00F12624"/>
    <w:rsid w:val="00F164E6"/>
    <w:rsid w:val="00F16D4E"/>
    <w:rsid w:val="00F22D33"/>
    <w:rsid w:val="00F23D95"/>
    <w:rsid w:val="00F25BC1"/>
    <w:rsid w:val="00F3516E"/>
    <w:rsid w:val="00F372BA"/>
    <w:rsid w:val="00F40939"/>
    <w:rsid w:val="00F45830"/>
    <w:rsid w:val="00F57CD3"/>
    <w:rsid w:val="00F60126"/>
    <w:rsid w:val="00F6396F"/>
    <w:rsid w:val="00F7271D"/>
    <w:rsid w:val="00F72F6C"/>
    <w:rsid w:val="00F756D4"/>
    <w:rsid w:val="00F77ADC"/>
    <w:rsid w:val="00F91FC0"/>
    <w:rsid w:val="00F97509"/>
    <w:rsid w:val="00FA696C"/>
    <w:rsid w:val="00FB0E42"/>
    <w:rsid w:val="00FB1E23"/>
    <w:rsid w:val="00FC17A9"/>
    <w:rsid w:val="00FD092B"/>
    <w:rsid w:val="00FD309A"/>
    <w:rsid w:val="00FD428D"/>
    <w:rsid w:val="00FE13B2"/>
    <w:rsid w:val="00FE47E0"/>
    <w:rsid w:val="00FE492D"/>
    <w:rsid w:val="00FF1FAF"/>
    <w:rsid w:val="00FF6EF5"/>
    <w:rsid w:val="00FF70F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97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930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esultlisthighlightterm">
    <w:name w:val="resultlisthighlightterm"/>
    <w:basedOn w:val="Caratterepredefinitoparagrafo"/>
    <w:rsid w:val="00007EB6"/>
  </w:style>
  <w:style w:type="paragraph" w:styleId="Testonotaapidipagina">
    <w:name w:val="footnote text"/>
    <w:basedOn w:val="Normale"/>
    <w:link w:val="TestonotaapidipaginaCarattere"/>
    <w:rsid w:val="00AC1A03"/>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atterepredefinitoparagrafo"/>
    <w:link w:val="Testonotaapidipagina"/>
    <w:rsid w:val="00AC1A03"/>
    <w:rPr>
      <w:rFonts w:ascii="Times New Roman" w:eastAsia="Times New Roman" w:hAnsi="Times New Roman" w:cs="Times New Roman"/>
      <w:sz w:val="20"/>
      <w:szCs w:val="20"/>
      <w:lang w:eastAsia="it-IT"/>
    </w:rPr>
  </w:style>
  <w:style w:type="character" w:styleId="Rimandonotaapidipagina">
    <w:name w:val="footnote reference"/>
    <w:basedOn w:val="Caratterepredefinitoparagrafo"/>
    <w:rsid w:val="00AC1A03"/>
    <w:rPr>
      <w:vertAlign w:val="superscript"/>
    </w:rPr>
  </w:style>
  <w:style w:type="paragraph" w:styleId="NormaleWeb">
    <w:name w:val="Normal (Web)"/>
    <w:basedOn w:val="Normale"/>
    <w:uiPriority w:val="99"/>
    <w:unhideWhenUsed/>
    <w:rsid w:val="00216D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sivo">
    <w:name w:val="corsivo"/>
    <w:basedOn w:val="Caratterepredefinitoparagrafo"/>
    <w:rsid w:val="00FA696C"/>
  </w:style>
  <w:style w:type="character" w:styleId="Collegamentoipertestuale">
    <w:name w:val="Hyperlink"/>
    <w:basedOn w:val="Caratterepredefinitoparagrafo"/>
    <w:uiPriority w:val="99"/>
    <w:unhideWhenUsed/>
    <w:rsid w:val="00FA696C"/>
    <w:rPr>
      <w:color w:val="0000FF"/>
      <w:u w:val="single"/>
    </w:rPr>
  </w:style>
  <w:style w:type="character" w:customStyle="1" w:styleId="blackunder">
    <w:name w:val="blackunder"/>
    <w:basedOn w:val="Caratterepredefinitoparagrafo"/>
    <w:rsid w:val="00AF70F5"/>
  </w:style>
  <w:style w:type="paragraph" w:styleId="Paragrafoelenco">
    <w:name w:val="List Paragraph"/>
    <w:basedOn w:val="Normale"/>
    <w:uiPriority w:val="34"/>
    <w:qFormat/>
    <w:rsid w:val="003E67EC"/>
    <w:pPr>
      <w:ind w:left="720"/>
      <w:contextualSpacing/>
    </w:pPr>
  </w:style>
  <w:style w:type="paragraph" w:styleId="Intestazione">
    <w:name w:val="header"/>
    <w:basedOn w:val="Normale"/>
    <w:link w:val="IntestazioneCarattere"/>
    <w:uiPriority w:val="99"/>
    <w:unhideWhenUsed/>
    <w:rsid w:val="00AD2FF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AD2FFC"/>
  </w:style>
  <w:style w:type="paragraph" w:styleId="Pidipagina">
    <w:name w:val="footer"/>
    <w:basedOn w:val="Normale"/>
    <w:link w:val="PidipaginaCarattere"/>
    <w:uiPriority w:val="99"/>
    <w:unhideWhenUsed/>
    <w:rsid w:val="00AD2FF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AD2FFC"/>
  </w:style>
  <w:style w:type="paragraph" w:styleId="Testofumetto">
    <w:name w:val="Balloon Text"/>
    <w:basedOn w:val="Normale"/>
    <w:link w:val="TestofumettoCarattere"/>
    <w:uiPriority w:val="99"/>
    <w:semiHidden/>
    <w:unhideWhenUsed/>
    <w:rsid w:val="00977C2C"/>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977C2C"/>
    <w:rPr>
      <w:rFonts w:ascii="Tahoma" w:hAnsi="Tahoma" w:cs="Tahoma"/>
      <w:sz w:val="16"/>
      <w:szCs w:val="16"/>
    </w:rPr>
  </w:style>
  <w:style w:type="character" w:customStyle="1" w:styleId="Titolo1Carattere">
    <w:name w:val="Titolo 1 Carattere"/>
    <w:basedOn w:val="Caratterepredefinitoparagrafo"/>
    <w:link w:val="Titolo1"/>
    <w:uiPriority w:val="9"/>
    <w:rsid w:val="008930DA"/>
    <w:rPr>
      <w:rFonts w:asciiTheme="majorHAnsi" w:eastAsiaTheme="majorEastAsia" w:hAnsiTheme="majorHAnsi" w:cstheme="majorBidi"/>
      <w:b/>
      <w:bCs/>
      <w:color w:val="365F91" w:themeColor="accent1" w:themeShade="BF"/>
      <w:sz w:val="28"/>
      <w:szCs w:val="28"/>
    </w:rPr>
  </w:style>
  <w:style w:type="paragraph" w:styleId="Nessunaspaziatura">
    <w:name w:val="No Spacing"/>
    <w:link w:val="NessunaspaziaturaCarattere"/>
    <w:qFormat/>
    <w:rsid w:val="001E0884"/>
    <w:pPr>
      <w:spacing w:after="0" w:line="240" w:lineRule="auto"/>
    </w:pPr>
    <w:rPr>
      <w:rFonts w:ascii="PMingLiU" w:eastAsiaTheme="minorEastAsia" w:hAnsi="PMingLiU"/>
      <w:lang w:eastAsia="it-IT"/>
    </w:rPr>
  </w:style>
  <w:style w:type="character" w:customStyle="1" w:styleId="NessunaspaziaturaCarattere">
    <w:name w:val="Nessuna spaziatura Carattere"/>
    <w:basedOn w:val="Caratterepredefinitoparagrafo"/>
    <w:link w:val="Nessunaspaziatura"/>
    <w:rsid w:val="001E0884"/>
    <w:rPr>
      <w:rFonts w:ascii="PMingLiU" w:eastAsiaTheme="minorEastAsia" w:hAnsi="PMingLiU"/>
      <w:lang w:eastAsia="it-IT"/>
    </w:rPr>
  </w:style>
  <w:style w:type="character" w:styleId="Collegamentovisitato">
    <w:name w:val="FollowedHyperlink"/>
    <w:basedOn w:val="Caratterepredefinitoparagrafo"/>
    <w:uiPriority w:val="99"/>
    <w:semiHidden/>
    <w:unhideWhenUsed/>
    <w:rsid w:val="00F727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930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esultlisthighlightterm">
    <w:name w:val="resultlisthighlightterm"/>
    <w:basedOn w:val="Caratterepredefinitoparagrafo"/>
    <w:rsid w:val="00007EB6"/>
  </w:style>
  <w:style w:type="paragraph" w:styleId="Testonotaapidipagina">
    <w:name w:val="footnote text"/>
    <w:basedOn w:val="Normale"/>
    <w:link w:val="TestonotaapidipaginaCarattere"/>
    <w:rsid w:val="00AC1A03"/>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atterepredefinitoparagrafo"/>
    <w:link w:val="Testonotaapidipagina"/>
    <w:rsid w:val="00AC1A03"/>
    <w:rPr>
      <w:rFonts w:ascii="Times New Roman" w:eastAsia="Times New Roman" w:hAnsi="Times New Roman" w:cs="Times New Roman"/>
      <w:sz w:val="20"/>
      <w:szCs w:val="20"/>
      <w:lang w:eastAsia="it-IT"/>
    </w:rPr>
  </w:style>
  <w:style w:type="character" w:styleId="Rimandonotaapidipagina">
    <w:name w:val="footnote reference"/>
    <w:basedOn w:val="Caratterepredefinitoparagrafo"/>
    <w:rsid w:val="00AC1A03"/>
    <w:rPr>
      <w:vertAlign w:val="superscript"/>
    </w:rPr>
  </w:style>
  <w:style w:type="paragraph" w:styleId="NormaleWeb">
    <w:name w:val="Normal (Web)"/>
    <w:basedOn w:val="Normale"/>
    <w:uiPriority w:val="99"/>
    <w:unhideWhenUsed/>
    <w:rsid w:val="00216D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sivo">
    <w:name w:val="corsivo"/>
    <w:basedOn w:val="Caratterepredefinitoparagrafo"/>
    <w:rsid w:val="00FA696C"/>
  </w:style>
  <w:style w:type="character" w:styleId="Collegamentoipertestuale">
    <w:name w:val="Hyperlink"/>
    <w:basedOn w:val="Caratterepredefinitoparagrafo"/>
    <w:uiPriority w:val="99"/>
    <w:unhideWhenUsed/>
    <w:rsid w:val="00FA696C"/>
    <w:rPr>
      <w:color w:val="0000FF"/>
      <w:u w:val="single"/>
    </w:rPr>
  </w:style>
  <w:style w:type="character" w:customStyle="1" w:styleId="blackunder">
    <w:name w:val="blackunder"/>
    <w:basedOn w:val="Caratterepredefinitoparagrafo"/>
    <w:rsid w:val="00AF70F5"/>
  </w:style>
  <w:style w:type="paragraph" w:styleId="Paragrafoelenco">
    <w:name w:val="List Paragraph"/>
    <w:basedOn w:val="Normale"/>
    <w:uiPriority w:val="34"/>
    <w:qFormat/>
    <w:rsid w:val="003E67EC"/>
    <w:pPr>
      <w:ind w:left="720"/>
      <w:contextualSpacing/>
    </w:pPr>
  </w:style>
  <w:style w:type="paragraph" w:styleId="Intestazione">
    <w:name w:val="header"/>
    <w:basedOn w:val="Normale"/>
    <w:link w:val="IntestazioneCarattere"/>
    <w:uiPriority w:val="99"/>
    <w:unhideWhenUsed/>
    <w:rsid w:val="00AD2FF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AD2FFC"/>
  </w:style>
  <w:style w:type="paragraph" w:styleId="Pidipagina">
    <w:name w:val="footer"/>
    <w:basedOn w:val="Normale"/>
    <w:link w:val="PidipaginaCarattere"/>
    <w:uiPriority w:val="99"/>
    <w:unhideWhenUsed/>
    <w:rsid w:val="00AD2FF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AD2FFC"/>
  </w:style>
  <w:style w:type="paragraph" w:styleId="Testofumetto">
    <w:name w:val="Balloon Text"/>
    <w:basedOn w:val="Normale"/>
    <w:link w:val="TestofumettoCarattere"/>
    <w:uiPriority w:val="99"/>
    <w:semiHidden/>
    <w:unhideWhenUsed/>
    <w:rsid w:val="00977C2C"/>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977C2C"/>
    <w:rPr>
      <w:rFonts w:ascii="Tahoma" w:hAnsi="Tahoma" w:cs="Tahoma"/>
      <w:sz w:val="16"/>
      <w:szCs w:val="16"/>
    </w:rPr>
  </w:style>
  <w:style w:type="character" w:customStyle="1" w:styleId="Titolo1Carattere">
    <w:name w:val="Titolo 1 Carattere"/>
    <w:basedOn w:val="Caratterepredefinitoparagrafo"/>
    <w:link w:val="Titolo1"/>
    <w:uiPriority w:val="9"/>
    <w:rsid w:val="008930DA"/>
    <w:rPr>
      <w:rFonts w:asciiTheme="majorHAnsi" w:eastAsiaTheme="majorEastAsia" w:hAnsiTheme="majorHAnsi" w:cstheme="majorBidi"/>
      <w:b/>
      <w:bCs/>
      <w:color w:val="365F91" w:themeColor="accent1" w:themeShade="BF"/>
      <w:sz w:val="28"/>
      <w:szCs w:val="28"/>
    </w:rPr>
  </w:style>
  <w:style w:type="paragraph" w:styleId="Nessunaspaziatura">
    <w:name w:val="No Spacing"/>
    <w:link w:val="NessunaspaziaturaCarattere"/>
    <w:qFormat/>
    <w:rsid w:val="001E0884"/>
    <w:pPr>
      <w:spacing w:after="0" w:line="240" w:lineRule="auto"/>
    </w:pPr>
    <w:rPr>
      <w:rFonts w:ascii="PMingLiU" w:eastAsiaTheme="minorEastAsia" w:hAnsi="PMingLiU"/>
      <w:lang w:eastAsia="it-IT"/>
    </w:rPr>
  </w:style>
  <w:style w:type="character" w:customStyle="1" w:styleId="NessunaspaziaturaCarattere">
    <w:name w:val="Nessuna spaziatura Carattere"/>
    <w:basedOn w:val="Caratterepredefinitoparagrafo"/>
    <w:link w:val="Nessunaspaziatura"/>
    <w:rsid w:val="001E0884"/>
    <w:rPr>
      <w:rFonts w:ascii="PMingLiU" w:eastAsiaTheme="minorEastAsia" w:hAnsi="PMingLiU"/>
      <w:lang w:eastAsia="it-IT"/>
    </w:rPr>
  </w:style>
  <w:style w:type="character" w:styleId="Collegamentovisitato">
    <w:name w:val="FollowedHyperlink"/>
    <w:basedOn w:val="Caratterepredefinitoparagrafo"/>
    <w:uiPriority w:val="99"/>
    <w:semiHidden/>
    <w:unhideWhenUsed/>
    <w:rsid w:val="00F727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6498">
      <w:bodyDiv w:val="1"/>
      <w:marLeft w:val="0"/>
      <w:marRight w:val="0"/>
      <w:marTop w:val="0"/>
      <w:marBottom w:val="0"/>
      <w:divBdr>
        <w:top w:val="none" w:sz="0" w:space="0" w:color="auto"/>
        <w:left w:val="none" w:sz="0" w:space="0" w:color="auto"/>
        <w:bottom w:val="none" w:sz="0" w:space="0" w:color="auto"/>
        <w:right w:val="none" w:sz="0" w:space="0" w:color="auto"/>
      </w:divBdr>
    </w:div>
    <w:div w:id="821120017">
      <w:bodyDiv w:val="1"/>
      <w:marLeft w:val="0"/>
      <w:marRight w:val="0"/>
      <w:marTop w:val="0"/>
      <w:marBottom w:val="0"/>
      <w:divBdr>
        <w:top w:val="none" w:sz="0" w:space="0" w:color="auto"/>
        <w:left w:val="none" w:sz="0" w:space="0" w:color="auto"/>
        <w:bottom w:val="none" w:sz="0" w:space="0" w:color="auto"/>
        <w:right w:val="none" w:sz="0" w:space="0" w:color="auto"/>
      </w:divBdr>
    </w:div>
    <w:div w:id="838037827">
      <w:bodyDiv w:val="1"/>
      <w:marLeft w:val="0"/>
      <w:marRight w:val="0"/>
      <w:marTop w:val="0"/>
      <w:marBottom w:val="0"/>
      <w:divBdr>
        <w:top w:val="none" w:sz="0" w:space="0" w:color="auto"/>
        <w:left w:val="none" w:sz="0" w:space="0" w:color="auto"/>
        <w:bottom w:val="none" w:sz="0" w:space="0" w:color="auto"/>
        <w:right w:val="none" w:sz="0" w:space="0" w:color="auto"/>
      </w:divBdr>
    </w:div>
    <w:div w:id="1797865413">
      <w:bodyDiv w:val="1"/>
      <w:marLeft w:val="0"/>
      <w:marRight w:val="0"/>
      <w:marTop w:val="0"/>
      <w:marBottom w:val="0"/>
      <w:divBdr>
        <w:top w:val="none" w:sz="0" w:space="0" w:color="auto"/>
        <w:left w:val="none" w:sz="0" w:space="0" w:color="auto"/>
        <w:bottom w:val="none" w:sz="0" w:space="0" w:color="auto"/>
        <w:right w:val="none" w:sz="0" w:space="0" w:color="auto"/>
      </w:divBdr>
    </w:div>
    <w:div w:id="2041659696">
      <w:bodyDiv w:val="1"/>
      <w:marLeft w:val="0"/>
      <w:marRight w:val="0"/>
      <w:marTop w:val="0"/>
      <w:marBottom w:val="0"/>
      <w:divBdr>
        <w:top w:val="none" w:sz="0" w:space="0" w:color="auto"/>
        <w:left w:val="none" w:sz="0" w:space="0" w:color="auto"/>
        <w:bottom w:val="none" w:sz="0" w:space="0" w:color="auto"/>
        <w:right w:val="none" w:sz="0" w:space="0" w:color="auto"/>
      </w:divBdr>
    </w:div>
    <w:div w:id="2062702125">
      <w:bodyDiv w:val="1"/>
      <w:marLeft w:val="0"/>
      <w:marRight w:val="0"/>
      <w:marTop w:val="0"/>
      <w:marBottom w:val="0"/>
      <w:divBdr>
        <w:top w:val="none" w:sz="0" w:space="0" w:color="auto"/>
        <w:left w:val="none" w:sz="0" w:space="0" w:color="auto"/>
        <w:bottom w:val="none" w:sz="0" w:space="0" w:color="auto"/>
        <w:right w:val="none" w:sz="0" w:space="0" w:color="auto"/>
      </w:divBdr>
    </w:div>
    <w:div w:id="20854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robertocavalloperin.it/repository/file/3_Il%20diritto%20amministrativo%20e%20l'emergenza%20derivante%20da%20cause%20e%20fattori%20esterni%20all'amministrazione.pdf" TargetMode="External"/><Relationship Id="rId4" Type="http://schemas.openxmlformats.org/officeDocument/2006/relationships/hyperlink" Target="http://www.robertocavalloperin.it/repository/file/0_Potere%20di%20ordinanza%20e%20principio%20di%20legalit%C3%A0.pdf" TargetMode="External"/><Relationship Id="rId5" Type="http://schemas.openxmlformats.org/officeDocument/2006/relationships/hyperlink" Target="http://www.robertocavalloperin.it/repository/ordinanza(1).pdf" TargetMode="External"/><Relationship Id="rId6" Type="http://schemas.openxmlformats.org/officeDocument/2006/relationships/hyperlink" Target="http://www.democraziaesicurezza.it" TargetMode="External"/><Relationship Id="rId1" Type="http://schemas.openxmlformats.org/officeDocument/2006/relationships/hyperlink" Target="http://www.robertocavalloperin.it/repository/file/1_Il%20diritto%20amministrativo%20dell'emergenza%20per%20fattori%20esterni%20all'amminiatrazione%20pubblica.pdf" TargetMode="External"/><Relationship Id="rId2" Type="http://schemas.openxmlformats.org/officeDocument/2006/relationships/hyperlink" Target="http://www.robertocavalloperin.it/repository/file/0_Diritto%20Amministrativo%202005.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5DF6-2E6F-F745-89E2-8CCBA8B4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19</Pages>
  <Words>4128</Words>
  <Characters>23536</Characters>
  <Application>Microsoft Macintosh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 Otranto</dc:creator>
  <cp:lastModifiedBy>STUDIO</cp:lastModifiedBy>
  <cp:revision>278</cp:revision>
  <cp:lastPrinted>2015-11-05T10:05:00Z</cp:lastPrinted>
  <dcterms:created xsi:type="dcterms:W3CDTF">2015-11-04T17:29:00Z</dcterms:created>
  <dcterms:modified xsi:type="dcterms:W3CDTF">2015-11-05T13:10:00Z</dcterms:modified>
</cp:coreProperties>
</file>